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val="0"/>
          <w:sz w:val="32"/>
          <w:szCs w:val="32"/>
        </w:rPr>
      </w:pPr>
      <w:bookmarkStart w:id="2" w:name="_GoBack"/>
      <w:r>
        <w:rPr>
          <w:rFonts w:hint="eastAsia" w:ascii="方正小标宋简体" w:hAnsi="方正小标宋简体" w:eastAsia="方正小标宋简体" w:cs="方正小标宋简体"/>
          <w:b w:val="0"/>
          <w:bCs w:val="0"/>
          <w:sz w:val="44"/>
          <w:szCs w:val="44"/>
          <w:lang w:val="en-US" w:eastAsia="zh-CN"/>
        </w:rPr>
        <w:t>梁子湖区</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年度地质灾害防治方案</w:t>
      </w:r>
      <w:bookmarkEnd w:id="2"/>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为做好202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度地质灾害防治工作，最大限度地避免和减轻地质灾害造成的人员伤亡和财产损失，保障经济社会可持续发展，根据《地质灾害防治条例》、《湖北省地质环境管理条例》和《鄂州市突发地质灾害应急预案》，结合我</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地质灾害现状，特制定本方案。</w:t>
      </w:r>
    </w:p>
    <w:p>
      <w:pPr>
        <w:pStyle w:val="16"/>
        <w:keepNext w:val="0"/>
        <w:keepLines w:val="0"/>
        <w:pageBreakBefore w:val="0"/>
        <w:kinsoku/>
        <w:wordWrap/>
        <w:overflowPunct/>
        <w:topLinePunct w:val="0"/>
        <w:autoSpaceDE/>
        <w:autoSpaceDN/>
        <w:bidi w:val="0"/>
        <w:spacing w:line="560" w:lineRule="exact"/>
        <w:ind w:firstLine="640"/>
        <w:jc w:val="both"/>
        <w:textAlignment w:val="auto"/>
        <w:outlineLvl w:val="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一、全</w:t>
      </w:r>
      <w:r>
        <w:rPr>
          <w:rFonts w:hint="eastAsia" w:ascii="黑体" w:hAnsi="黑体" w:eastAsia="黑体" w:cs="黑体"/>
          <w:b w:val="0"/>
          <w:bCs w:val="0"/>
          <w:color w:val="auto"/>
          <w:sz w:val="32"/>
          <w:szCs w:val="32"/>
          <w:lang w:val="en-US" w:eastAsia="zh-CN"/>
        </w:rPr>
        <w:t>区</w:t>
      </w:r>
      <w:r>
        <w:rPr>
          <w:rFonts w:hint="eastAsia" w:ascii="黑体" w:hAnsi="黑体" w:eastAsia="黑体" w:cs="黑体"/>
          <w:b w:val="0"/>
          <w:bCs w:val="0"/>
          <w:color w:val="auto"/>
          <w:sz w:val="32"/>
          <w:szCs w:val="32"/>
        </w:rPr>
        <w:t>地质灾害基本情况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bookmarkStart w:id="0" w:name="_Hlk126335308"/>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1546225</wp:posOffset>
            </wp:positionV>
            <wp:extent cx="5034280" cy="3075940"/>
            <wp:effectExtent l="4445" t="4445" r="9525" b="57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b w:val="0"/>
          <w:bCs w:val="0"/>
          <w:color w:val="auto"/>
          <w:sz w:val="32"/>
          <w:szCs w:val="32"/>
        </w:rPr>
        <w:t>截至202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年3月，</w:t>
      </w:r>
      <w:r>
        <w:rPr>
          <w:rFonts w:hint="eastAsia" w:ascii="仿宋_GB2312" w:hAnsi="仿宋_GB2312" w:eastAsia="仿宋_GB2312" w:cs="仿宋_GB2312"/>
          <w:b w:val="0"/>
          <w:bCs w:val="0"/>
          <w:color w:val="auto"/>
          <w:sz w:val="32"/>
          <w:szCs w:val="32"/>
          <w:lang w:val="en-US" w:eastAsia="zh-CN"/>
        </w:rPr>
        <w:t>我区</w:t>
      </w:r>
      <w:r>
        <w:rPr>
          <w:rFonts w:hint="eastAsia" w:ascii="仿宋_GB2312" w:hAnsi="仿宋_GB2312" w:eastAsia="仿宋_GB2312" w:cs="仿宋_GB2312"/>
          <w:b w:val="0"/>
          <w:bCs w:val="0"/>
          <w:color w:val="auto"/>
          <w:sz w:val="32"/>
          <w:szCs w:val="32"/>
        </w:rPr>
        <w:t>共有地质灾害</w:t>
      </w:r>
      <w:r>
        <w:rPr>
          <w:rFonts w:hint="eastAsia" w:ascii="仿宋_GB2312" w:hAnsi="仿宋_GB2312" w:eastAsia="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rPr>
        <w:t>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入库38处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不稳定斜坡</w:t>
      </w: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处，滑坡</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处，崩塌</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处，灾害体面积</w:t>
      </w:r>
      <w:r>
        <w:rPr>
          <w:rFonts w:hint="eastAsia" w:ascii="仿宋_GB2312" w:hAnsi="仿宋_GB2312" w:eastAsia="仿宋_GB2312" w:cs="仿宋_GB2312"/>
          <w:b w:val="0"/>
          <w:bCs w:val="0"/>
          <w:color w:val="auto"/>
          <w:sz w:val="32"/>
          <w:szCs w:val="32"/>
          <w:lang w:val="en-US" w:eastAsia="zh-CN"/>
        </w:rPr>
        <w:t>14.34×10</w:t>
      </w:r>
      <w:r>
        <w:rPr>
          <w:rFonts w:hint="eastAsia" w:ascii="仿宋_GB2312" w:hAnsi="仿宋_GB2312" w:eastAsia="仿宋_GB2312" w:cs="仿宋_GB2312"/>
          <w:b w:val="0"/>
          <w:bCs w:val="0"/>
          <w:color w:val="auto"/>
          <w:sz w:val="32"/>
          <w:szCs w:val="32"/>
          <w:vertAlign w:val="superscript"/>
          <w:lang w:val="en-US" w:eastAsia="zh-CN"/>
        </w:rPr>
        <w:t>4</w:t>
      </w:r>
      <w:r>
        <w:rPr>
          <w:rFonts w:hint="eastAsia" w:ascii="仿宋_GB2312" w:hAnsi="仿宋_GB2312" w:eastAsia="仿宋_GB2312" w:cs="仿宋_GB2312"/>
          <w:b w:val="0"/>
          <w:bCs w:val="0"/>
          <w:color w:val="auto"/>
          <w:sz w:val="32"/>
          <w:szCs w:val="32"/>
          <w:lang w:val="en-US" w:eastAsia="zh-CN"/>
        </w:rPr>
        <w:t>m</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rPr>
        <w:t>，威胁人数</w:t>
      </w:r>
      <w:r>
        <w:rPr>
          <w:rFonts w:hint="eastAsia" w:ascii="仿宋_GB2312" w:hAnsi="仿宋_GB2312" w:eastAsia="仿宋_GB2312" w:cs="仿宋_GB2312"/>
          <w:b w:val="0"/>
          <w:bCs w:val="0"/>
          <w:color w:val="auto"/>
          <w:sz w:val="32"/>
          <w:szCs w:val="32"/>
          <w:lang w:val="en-US" w:eastAsia="zh-CN"/>
        </w:rPr>
        <w:t>422</w:t>
      </w:r>
      <w:r>
        <w:rPr>
          <w:rFonts w:hint="eastAsia" w:ascii="仿宋_GB2312" w:hAnsi="仿宋_GB2312" w:eastAsia="仿宋_GB2312" w:cs="仿宋_GB2312"/>
          <w:b w:val="0"/>
          <w:bCs w:val="0"/>
          <w:color w:val="auto"/>
          <w:sz w:val="32"/>
          <w:szCs w:val="32"/>
        </w:rPr>
        <w:t>人，威胁财产</w:t>
      </w:r>
      <w:r>
        <w:rPr>
          <w:rFonts w:hint="eastAsia" w:ascii="仿宋_GB2312" w:hAnsi="仿宋_GB2312" w:eastAsia="仿宋_GB2312" w:cs="仿宋_GB2312"/>
          <w:b w:val="0"/>
          <w:bCs w:val="0"/>
          <w:color w:val="auto"/>
          <w:sz w:val="32"/>
          <w:szCs w:val="32"/>
          <w:lang w:val="en-US" w:eastAsia="zh-CN"/>
        </w:rPr>
        <w:t>6350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bookmarkStart w:id="1" w:name="_Hlk126335321"/>
      <w:r>
        <w:rPr>
          <w:rFonts w:hint="eastAsia" w:ascii="仿宋_GB2312" w:hAnsi="仿宋_GB2312" w:eastAsia="仿宋_GB2312" w:cs="仿宋_GB2312"/>
          <w:b w:val="0"/>
          <w:bCs w:val="0"/>
          <w:color w:val="auto"/>
          <w:sz w:val="32"/>
          <w:szCs w:val="32"/>
        </w:rPr>
        <w:t>截</w:t>
      </w:r>
      <w:r>
        <w:rPr>
          <w:rFonts w:hint="eastAsia" w:ascii="仿宋_GB2312" w:hAnsi="仿宋_GB2312" w:eastAsia="仿宋_GB2312" w:cs="仿宋_GB2312"/>
          <w:b w:val="0"/>
          <w:bCs w:val="0"/>
          <w:color w:val="auto"/>
          <w:sz w:val="32"/>
          <w:szCs w:val="32"/>
          <w:lang w:val="en-US" w:eastAsia="zh-CN"/>
        </w:rPr>
        <w:t>至</w:t>
      </w:r>
      <w:r>
        <w:rPr>
          <w:rFonts w:hint="eastAsia" w:ascii="仿宋_GB2312" w:hAnsi="仿宋_GB2312" w:eastAsia="仿宋_GB2312" w:cs="仿宋_GB2312"/>
          <w:b w:val="0"/>
          <w:bCs w:val="0"/>
          <w:color w:val="auto"/>
          <w:sz w:val="32"/>
          <w:szCs w:val="32"/>
        </w:rPr>
        <w:t>目前，我</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共布置专业监测预警设备</w:t>
      </w: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rPr>
        <w:t>处（共涉及</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处滑坡和</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处</w:t>
      </w:r>
      <w:r>
        <w:rPr>
          <w:rFonts w:hint="eastAsia" w:ascii="仿宋_GB2312" w:hAnsi="仿宋_GB2312" w:eastAsia="仿宋_GB2312" w:cs="仿宋_GB2312"/>
          <w:b w:val="0"/>
          <w:bCs w:val="0"/>
          <w:color w:val="auto"/>
          <w:sz w:val="32"/>
          <w:szCs w:val="32"/>
          <w:lang w:val="en-US" w:eastAsia="zh-CN"/>
        </w:rPr>
        <w:t>不稳定斜坡</w:t>
      </w:r>
      <w:r>
        <w:rPr>
          <w:rFonts w:hint="eastAsia" w:ascii="仿宋_GB2312" w:hAnsi="仿宋_GB2312" w:eastAsia="仿宋_GB2312" w:cs="仿宋_GB2312"/>
          <w:b w:val="0"/>
          <w:bCs w:val="0"/>
          <w:color w:val="auto"/>
          <w:sz w:val="32"/>
          <w:szCs w:val="32"/>
        </w:rPr>
        <w:t>），设备在线率达</w:t>
      </w:r>
      <w:r>
        <w:rPr>
          <w:rFonts w:hint="eastAsia" w:ascii="仿宋_GB2312" w:hAnsi="仿宋_GB2312" w:eastAsia="仿宋_GB2312" w:cs="仿宋_GB2312"/>
          <w:b w:val="0"/>
          <w:bCs w:val="0"/>
          <w:color w:val="auto"/>
          <w:sz w:val="32"/>
          <w:szCs w:val="32"/>
          <w:lang w:val="en-US" w:eastAsia="zh-CN"/>
        </w:rPr>
        <w:t>86</w:t>
      </w:r>
      <w:r>
        <w:rPr>
          <w:rFonts w:hint="eastAsia" w:ascii="仿宋_GB2312" w:hAnsi="仿宋_GB2312" w:eastAsia="仿宋_GB2312" w:cs="仿宋_GB2312"/>
          <w:b w:val="0"/>
          <w:bCs w:val="0"/>
          <w:color w:val="auto"/>
          <w:sz w:val="32"/>
          <w:szCs w:val="32"/>
        </w:rPr>
        <w:t>%以上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部分仪器由于周边工程建设暂时移除，处于离线状态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2024年</w:t>
      </w:r>
      <w:r>
        <w:rPr>
          <w:rFonts w:hint="eastAsia" w:ascii="仿宋_GB2312" w:hAnsi="仿宋_GB2312" w:eastAsia="仿宋_GB2312" w:cs="仿宋_GB2312"/>
          <w:b w:val="0"/>
          <w:bCs w:val="0"/>
          <w:color w:val="auto"/>
          <w:sz w:val="32"/>
          <w:szCs w:val="32"/>
        </w:rPr>
        <w:t>7月24日，</w:t>
      </w:r>
      <w:r>
        <w:rPr>
          <w:rFonts w:hint="eastAsia" w:ascii="仿宋_GB2312" w:hAnsi="仿宋_GB2312" w:eastAsia="仿宋_GB2312" w:cs="仿宋_GB2312"/>
          <w:b w:val="0"/>
          <w:bCs w:val="0"/>
          <w:color w:val="auto"/>
          <w:sz w:val="32"/>
          <w:szCs w:val="32"/>
          <w:lang w:val="en-US" w:eastAsia="zh-CN"/>
        </w:rPr>
        <w:t>我区的监测设备有效预警了</w:t>
      </w:r>
      <w:r>
        <w:rPr>
          <w:rFonts w:hint="eastAsia" w:ascii="仿宋_GB2312" w:hAnsi="仿宋_GB2312" w:eastAsia="仿宋_GB2312" w:cs="仿宋_GB2312"/>
          <w:b w:val="0"/>
          <w:bCs w:val="0"/>
          <w:color w:val="auto"/>
          <w:sz w:val="32"/>
          <w:szCs w:val="32"/>
        </w:rPr>
        <w:t>东沟镇东沟村向家湾港堤滑坡裂缝变形破坏迹象并及时组织应急处置措施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避免威胁坡顶房屋6栋，人员约20余人，威胁堤岸、道路近百米，挽回经济损失约126万元。</w:t>
      </w:r>
    </w:p>
    <w:bookmarkEnd w:id="1"/>
    <w:p>
      <w:pPr>
        <w:pStyle w:val="16"/>
        <w:keepNext w:val="0"/>
        <w:keepLines w:val="0"/>
        <w:pageBreakBefore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二、202</w:t>
      </w: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年地质灾害趋势预测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根据全</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年度地质灾害趋势预测和我</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年度地质灾害基本情况及特点，同时结合2000至202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发生地质灾害的情况和趋势，</w:t>
      </w:r>
      <w:r>
        <w:rPr>
          <w:rFonts w:hint="eastAsia" w:ascii="仿宋_GB2312" w:hAnsi="仿宋_GB2312" w:eastAsia="仿宋_GB2312" w:cs="仿宋_GB2312"/>
          <w:b w:val="0"/>
          <w:bCs w:val="0"/>
          <w:color w:val="auto"/>
          <w:sz w:val="32"/>
          <w:szCs w:val="32"/>
          <w:lang w:val="en-US" w:eastAsia="zh-CN"/>
        </w:rPr>
        <w:t>2025年度，我区的地质灾害</w:t>
      </w:r>
      <w:r>
        <w:rPr>
          <w:rFonts w:hint="eastAsia" w:ascii="仿宋_GB2312" w:hAnsi="仿宋_GB2312" w:eastAsia="仿宋_GB2312" w:cs="仿宋_GB2312"/>
          <w:b w:val="0"/>
          <w:bCs w:val="0"/>
          <w:color w:val="auto"/>
          <w:sz w:val="32"/>
          <w:szCs w:val="32"/>
        </w:rPr>
        <w:t>发生时间将会集中于5-9月，</w:t>
      </w:r>
      <w:r>
        <w:rPr>
          <w:rFonts w:hint="eastAsia" w:ascii="仿宋_GB2312" w:hAnsi="仿宋_GB2312" w:eastAsia="仿宋_GB2312" w:cs="仿宋_GB2312"/>
          <w:b w:val="0"/>
          <w:bCs w:val="0"/>
          <w:color w:val="auto"/>
          <w:sz w:val="32"/>
          <w:szCs w:val="32"/>
          <w:lang w:val="en-US" w:eastAsia="zh-CN"/>
        </w:rPr>
        <w:t>应</w:t>
      </w:r>
      <w:r>
        <w:rPr>
          <w:rFonts w:hint="eastAsia" w:ascii="仿宋_GB2312" w:hAnsi="仿宋_GB2312" w:eastAsia="仿宋_GB2312" w:cs="仿宋_GB2312"/>
          <w:b w:val="0"/>
          <w:bCs w:val="0"/>
          <w:color w:val="auto"/>
          <w:sz w:val="32"/>
          <w:szCs w:val="32"/>
        </w:rPr>
        <w:t>重点关注我</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梅雨期、盛夏局地强降水期和秋汛期的地质灾害防范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重点把控我区长港河沿线、乡村公路沿线和居民建房切坡</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val="en-US" w:eastAsia="zh-CN"/>
        </w:rPr>
        <w:t>主要风险点</w:t>
      </w:r>
      <w:r>
        <w:rPr>
          <w:rFonts w:hint="eastAsia" w:ascii="仿宋_GB2312" w:hAnsi="仿宋_GB2312" w:eastAsia="仿宋_GB2312" w:cs="仿宋_GB2312"/>
          <w:b w:val="0"/>
          <w:bCs w:val="0"/>
          <w:color w:val="auto"/>
          <w:sz w:val="32"/>
          <w:szCs w:val="32"/>
          <w:lang w:eastAsia="zh-CN"/>
        </w:rPr>
        <w:t>。</w:t>
      </w:r>
    </w:p>
    <w:p>
      <w:pPr>
        <w:pStyle w:val="16"/>
        <w:keepNext w:val="0"/>
        <w:keepLines w:val="0"/>
        <w:pageBreakBefore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重点防范区域</w:t>
      </w:r>
      <w:r>
        <w:rPr>
          <w:rFonts w:hint="eastAsia" w:ascii="黑体" w:hAnsi="黑体" w:eastAsia="黑体" w:cs="黑体"/>
          <w:b w:val="0"/>
          <w:bCs w:val="0"/>
          <w:color w:val="auto"/>
          <w:sz w:val="32"/>
          <w:szCs w:val="32"/>
          <w:lang w:val="en-US" w:eastAsia="zh-CN"/>
        </w:rPr>
        <w:t>及类型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u w:val="none"/>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梧桐湖园区：</w:t>
      </w:r>
      <w:r>
        <w:rPr>
          <w:rFonts w:hint="eastAsia" w:ascii="仿宋_GB2312" w:hAnsi="仿宋_GB2312" w:eastAsia="仿宋_GB2312" w:cs="仿宋_GB2312"/>
          <w:b w:val="0"/>
          <w:bCs w:val="0"/>
          <w:color w:val="auto"/>
          <w:sz w:val="32"/>
          <w:szCs w:val="32"/>
          <w:lang w:val="en-US" w:eastAsia="zh-CN"/>
        </w:rPr>
        <w:t>以长港河沿线等沿河区域进行重点防范，根据河流边坡滑坡的特性，主要以磨刀矶村(二组、十三组)南湖路滑坡、月山村大寨港路滑坡为典型，要加强对沿河沿港区域的巡查。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u w:val="none"/>
          <w:lang w:val="en-US" w:eastAsia="zh-CN"/>
        </w:rPr>
        <w:t>（二）东沟镇：</w:t>
      </w:r>
      <w:r>
        <w:rPr>
          <w:rFonts w:hint="eastAsia" w:ascii="仿宋_GB2312" w:hAnsi="仿宋_GB2312" w:eastAsia="仿宋_GB2312" w:cs="仿宋_GB2312"/>
          <w:b w:val="0"/>
          <w:bCs w:val="0"/>
          <w:color w:val="auto"/>
          <w:sz w:val="32"/>
          <w:szCs w:val="32"/>
          <w:lang w:val="en-US" w:eastAsia="zh-CN"/>
        </w:rPr>
        <w:t>如东沟镇东沟村老街港堤滑坡、东沟镇东沟村鳊鱼湾港堤滑坡等，主要防范</w:t>
      </w:r>
      <w:r>
        <w:rPr>
          <w:rFonts w:hint="eastAsia" w:ascii="仿宋_GB2312" w:hAnsi="仿宋_GB2312" w:eastAsia="仿宋_GB2312" w:cs="仿宋_GB2312"/>
          <w:b w:val="0"/>
          <w:bCs w:val="0"/>
          <w:color w:val="auto"/>
          <w:sz w:val="32"/>
          <w:szCs w:val="32"/>
        </w:rPr>
        <w:t>滑坡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河流作用引发的崩岸灾害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加强对</w:t>
      </w:r>
      <w:r>
        <w:rPr>
          <w:rFonts w:hint="eastAsia" w:ascii="仿宋_GB2312" w:hAnsi="仿宋_GB2312" w:eastAsia="仿宋_GB2312" w:cs="仿宋_GB2312"/>
          <w:b w:val="0"/>
          <w:bCs w:val="0"/>
          <w:color w:val="auto"/>
          <w:sz w:val="32"/>
          <w:szCs w:val="32"/>
        </w:rPr>
        <w:t>河流沿岸的巡查</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u w:val="none"/>
          <w:lang w:val="en-US" w:eastAsia="zh-CN"/>
        </w:rPr>
        <w:t>（三）梁子镇：</w:t>
      </w:r>
      <w:r>
        <w:rPr>
          <w:rFonts w:hint="eastAsia" w:ascii="仿宋_GB2312" w:hAnsi="仿宋_GB2312" w:eastAsia="仿宋_GB2312" w:cs="仿宋_GB2312"/>
          <w:b w:val="0"/>
          <w:bCs w:val="0"/>
          <w:color w:val="auto"/>
          <w:sz w:val="32"/>
          <w:szCs w:val="32"/>
          <w:lang w:val="en-US" w:eastAsia="zh-CN"/>
        </w:rPr>
        <w:t>重点防范区域以梁子岛点将台滑坡为主的梁子岛环湖区域，由于风力和水力的侵蚀作用，易引发滑坡等地质灾害，要密切关注沿湖区域，加强巡查。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u w:val="none"/>
          <w:lang w:val="en-US" w:eastAsia="zh-CN"/>
        </w:rPr>
        <w:t>（四）沼山镇：</w:t>
      </w:r>
      <w:r>
        <w:rPr>
          <w:rFonts w:hint="eastAsia" w:ascii="仿宋_GB2312" w:hAnsi="仿宋_GB2312" w:eastAsia="仿宋_GB2312" w:cs="仿宋_GB2312"/>
          <w:b w:val="0"/>
          <w:bCs w:val="0"/>
          <w:color w:val="auto"/>
          <w:sz w:val="32"/>
          <w:szCs w:val="32"/>
        </w:rPr>
        <w:t>重点防范区域包括杨井村北海湾等，主要灾害类型为滑坡、崩塌等，需关注切坡建房区域及山体边坡稳定性。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u w:val="none"/>
          <w:lang w:val="en-US" w:eastAsia="zh-CN"/>
        </w:rPr>
        <w:t>（五）太和镇：</w:t>
      </w:r>
      <w:r>
        <w:rPr>
          <w:rFonts w:hint="eastAsia" w:ascii="仿宋_GB2312" w:hAnsi="仿宋_GB2312" w:eastAsia="仿宋_GB2312" w:cs="仿宋_GB2312"/>
          <w:b w:val="0"/>
          <w:bCs w:val="0"/>
          <w:color w:val="auto"/>
          <w:sz w:val="32"/>
          <w:szCs w:val="32"/>
        </w:rPr>
        <w:t>如陈太村九组尹家湾、花黄村面黄湾等，主要防范滑坡、崩塌以及可能因河流作用引发的崩岸灾害，加强对山区和河流沿岸的巡查。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u w:val="none"/>
          <w:lang w:val="en-US" w:eastAsia="zh-CN"/>
        </w:rPr>
        <w:t>（六）涂家垴镇：</w:t>
      </w:r>
      <w:r>
        <w:rPr>
          <w:rFonts w:hint="eastAsia" w:ascii="仿宋_GB2312" w:hAnsi="仿宋_GB2312" w:eastAsia="仿宋_GB2312" w:cs="仿宋_GB2312"/>
          <w:b w:val="0"/>
          <w:bCs w:val="0"/>
          <w:color w:val="auto"/>
          <w:sz w:val="32"/>
          <w:szCs w:val="32"/>
        </w:rPr>
        <w:t>涂镇村十五组潘际兴屋后等地为重点，注意切坡建房形成的小型滑坡和崩塌隐患，同时关注周边山体和坡面的变化</w:t>
      </w:r>
    </w:p>
    <w:p>
      <w:pPr>
        <w:pStyle w:val="16"/>
        <w:keepNext w:val="0"/>
        <w:keepLines w:val="0"/>
        <w:pageBreakBefore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四、全</w:t>
      </w:r>
      <w:r>
        <w:rPr>
          <w:rFonts w:hint="eastAsia" w:ascii="黑体" w:hAnsi="黑体" w:eastAsia="黑体" w:cs="黑体"/>
          <w:b w:val="0"/>
          <w:bCs w:val="0"/>
          <w:color w:val="auto"/>
          <w:sz w:val="32"/>
          <w:szCs w:val="32"/>
          <w:lang w:val="en-US" w:eastAsia="zh-CN"/>
        </w:rPr>
        <w:t>区</w:t>
      </w:r>
      <w:r>
        <w:rPr>
          <w:rFonts w:hint="eastAsia" w:ascii="黑体" w:hAnsi="黑体" w:eastAsia="黑体" w:cs="黑体"/>
          <w:b w:val="0"/>
          <w:bCs w:val="0"/>
          <w:color w:val="auto"/>
          <w:sz w:val="32"/>
          <w:szCs w:val="32"/>
        </w:rPr>
        <w:t>地质灾害监测点防治对策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截至202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年3月份，结合地质灾害防治“四位一体”网格化隐患点核查报告，全</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现存地质灾害隐患点</w:t>
      </w:r>
      <w:r>
        <w:rPr>
          <w:rFonts w:hint="eastAsia" w:ascii="仿宋_GB2312" w:hAnsi="仿宋_GB2312" w:eastAsia="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rPr>
        <w:t>处，防治对策详见附表</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Cs/>
          <w:sz w:val="32"/>
          <w:szCs w:val="32"/>
        </w:rPr>
      </w:pPr>
      <w:r>
        <w:rPr>
          <w:rFonts w:hint="eastAsia" w:ascii="黑体" w:hAnsi="黑体" w:eastAsia="黑体" w:cs="黑体"/>
          <w:bCs/>
          <w:sz w:val="32"/>
          <w:szCs w:val="32"/>
        </w:rPr>
        <w:t>五、地质灾害保障措施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楷体" w:hAnsi="楷体" w:eastAsia="楷体" w:cs="楷体"/>
          <w:b w:val="0"/>
          <w:bCs w:val="0"/>
          <w:color w:val="auto"/>
          <w:sz w:val="32"/>
          <w:szCs w:val="32"/>
          <w:u w:val="none"/>
          <w:lang w:val="en-US" w:eastAsia="zh-CN"/>
        </w:rPr>
        <w:t>（一）提高政治站位，强化防范意识。</w:t>
      </w:r>
      <w:r>
        <w:rPr>
          <w:rFonts w:hint="eastAsia" w:ascii="仿宋_GB2312" w:hAnsi="仿宋_GB2312" w:eastAsia="仿宋_GB2312" w:cs="仿宋_GB2312"/>
          <w:b w:val="0"/>
          <w:bCs w:val="0"/>
          <w:color w:val="000000"/>
          <w:sz w:val="32"/>
          <w:szCs w:val="32"/>
        </w:rPr>
        <w:t>全面贯彻落实习近平总书记关于防灾减灾救灾的系列重要论述和指示批示精神，始终秉持“两个坚持、三个转变”理念，真正把“时时放心不下”的责任感转化为“事事心中有底”的行动力，充分认识极端天气致灾事件趋多趋频趋强趋广态势，着眼重大基础设施建设运营等人类工程活动可能带来或遭受地质灾害造成的影响，聚焦可能造成群死群伤的重要区域，作为年度防范重点，着力全年全天</w:t>
      </w:r>
      <w:r>
        <w:rPr>
          <w:rFonts w:hint="eastAsia" w:ascii="仿宋_GB2312" w:hAnsi="仿宋_GB2312" w:eastAsia="仿宋_GB2312" w:cs="仿宋_GB2312"/>
          <w:b w:val="0"/>
          <w:bCs w:val="0"/>
          <w:color w:val="000000"/>
          <w:sz w:val="32"/>
          <w:szCs w:val="32"/>
          <w:lang w:eastAsia="zh-CN"/>
        </w:rPr>
        <w:t>候防范化解地质灾害风险，全力确保人民群众生命财产安全。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color w:val="auto"/>
          <w:sz w:val="32"/>
          <w:szCs w:val="32"/>
          <w:u w:val="none"/>
          <w:lang w:val="en-US" w:eastAsia="zh-CN"/>
        </w:rPr>
        <w:t>（二）坚持政府主导，加大部门协作。</w:t>
      </w:r>
      <w:r>
        <w:rPr>
          <w:rFonts w:hint="eastAsia" w:ascii="仿宋_GB2312" w:hAnsi="仿宋_GB2312" w:eastAsia="仿宋_GB2312" w:cs="仿宋_GB2312"/>
          <w:color w:val="000000"/>
          <w:sz w:val="32"/>
          <w:szCs w:val="32"/>
        </w:rPr>
        <w:t>明确</w:t>
      </w:r>
      <w:r>
        <w:rPr>
          <w:rFonts w:hint="eastAsia" w:ascii="仿宋_GB2312" w:hAnsi="仿宋_GB2312" w:eastAsia="仿宋_GB2312" w:cs="仿宋_GB2312"/>
          <w:color w:val="000000"/>
          <w:sz w:val="32"/>
          <w:szCs w:val="32"/>
          <w:lang w:val="en-US" w:eastAsia="zh-CN"/>
        </w:rPr>
        <w:t>各级政府</w:t>
      </w:r>
      <w:r>
        <w:rPr>
          <w:rFonts w:hint="eastAsia" w:ascii="仿宋_GB2312" w:hAnsi="仿宋_GB2312" w:eastAsia="仿宋_GB2312" w:cs="仿宋_GB2312"/>
          <w:color w:val="000000"/>
          <w:sz w:val="32"/>
          <w:szCs w:val="32"/>
        </w:rPr>
        <w:t>地质灾害防治工作</w:t>
      </w:r>
      <w:r>
        <w:rPr>
          <w:rFonts w:hint="eastAsia" w:ascii="仿宋_GB2312" w:hAnsi="仿宋_GB2312" w:eastAsia="仿宋_GB2312" w:cs="仿宋_GB2312"/>
          <w:color w:val="000000"/>
          <w:sz w:val="32"/>
          <w:szCs w:val="32"/>
          <w:lang w:val="en-US" w:eastAsia="zh-CN"/>
        </w:rPr>
        <w:t>责任</w:t>
      </w:r>
      <w:r>
        <w:rPr>
          <w:rFonts w:hint="eastAsia" w:ascii="仿宋_GB2312" w:hAnsi="仿宋_GB2312" w:eastAsia="仿宋_GB2312" w:cs="仿宋_GB2312"/>
          <w:color w:val="000000"/>
          <w:sz w:val="32"/>
          <w:szCs w:val="32"/>
        </w:rPr>
        <w:t>的划分，坚持地方政府在地质灾害防治工作中的主体责任地位，各部门要按照各自职能职责，本着“谁引发、谁治理，谁建设、谁负责，谁监管、谁组织”原则，做好本领域职责范围相关场所和设施的地质灾害巡（排）查、监测预警、综合治理等工作，并协助应急管理部门统筹抓好应急抢险和救援工作。气象、地质等部门应为地质灾害的防治及时提供有关信息和技术支持，不断提升地质灾害防治能力和水平。自然资源部门要进一步加强监督和指导，督促地质灾害防治工作落实到具体单位</w:t>
      </w:r>
      <w:r>
        <w:rPr>
          <w:rFonts w:hint="eastAsia" w:ascii="仿宋_GB2312" w:hAnsi="仿宋_GB2312" w:eastAsia="仿宋_GB2312" w:cs="仿宋_GB2312"/>
          <w:sz w:val="32"/>
          <w:szCs w:val="32"/>
        </w:rPr>
        <w:t>、具体个人。各部门在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政府统一领导下加强地质灾害防治协作，加大地质灾害防治力度，主动履职尽责，将地质灾害防治工作落到实处,工程治理项目</w:t>
      </w:r>
      <w:r>
        <w:rPr>
          <w:rFonts w:hint="eastAsia" w:ascii="仿宋_GB2312" w:hAnsi="仿宋_GB2312" w:eastAsia="仿宋_GB2312" w:cs="仿宋_GB2312"/>
          <w:sz w:val="32"/>
          <w:szCs w:val="32"/>
          <w:lang w:val="en-US" w:eastAsia="zh-CN"/>
        </w:rPr>
        <w:t>完成终验后</w:t>
      </w:r>
      <w:r>
        <w:rPr>
          <w:rFonts w:hint="eastAsia" w:ascii="仿宋_GB2312" w:hAnsi="仿宋_GB2312" w:eastAsia="仿宋_GB2312" w:cs="仿宋_GB2312"/>
          <w:sz w:val="32"/>
          <w:szCs w:val="32"/>
        </w:rPr>
        <w:t>移交至治理点所在地政府，</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政府应继续密切关注当地治理点情况。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color w:val="auto"/>
          <w:sz w:val="32"/>
          <w:szCs w:val="32"/>
          <w:u w:val="none"/>
          <w:lang w:val="en-US" w:eastAsia="zh-CN"/>
        </w:rPr>
        <w:t>(三)强化排查整治，协同防范风险。</w:t>
      </w:r>
      <w:r>
        <w:rPr>
          <w:rFonts w:hint="eastAsia" w:ascii="仿宋_GB2312" w:hAnsi="仿宋_GB2312" w:eastAsia="仿宋_GB2312" w:cs="仿宋_GB2312"/>
          <w:b w:val="0"/>
          <w:bCs w:val="0"/>
          <w:sz w:val="32"/>
          <w:szCs w:val="32"/>
        </w:rPr>
        <w:t>强化各行业领域地质灾害隐患风险研判排查，进一步提升相关领域重大基础设施地质灾害及相关风险隐患排查工作力度，坚持多部门常态化会商研判机制，及时组织对雨情、汛情、险情、灾情舆情等会商评估，加强信息互联互通，牢固树立关口前移意识，依托技术支撑队伍开展排查整治，既要重视灾害发生后次生、衍生风险，更要关注成灾之前苗头性、趋势性，及时处置灾害风险隐患最大限度防范可能存在的风险隐患。持续统筹行政、技术、社会等各方力量，突出重点行业、重点部位、重要时间节点，不断健全优化常态化隐患排查整治工作机制和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楷体" w:hAnsi="楷体" w:eastAsia="楷体" w:cs="楷体"/>
          <w:b w:val="0"/>
          <w:bCs w:val="0"/>
          <w:color w:val="auto"/>
          <w:sz w:val="32"/>
          <w:szCs w:val="32"/>
          <w:u w:val="none"/>
          <w:lang w:val="en-US" w:eastAsia="zh-CN"/>
        </w:rPr>
        <w:t>（四）深化预警建设，做好避险转移。</w:t>
      </w:r>
      <w:r>
        <w:rPr>
          <w:rFonts w:hint="eastAsia" w:ascii="仿宋_GB2312" w:hAnsi="仿宋_GB2312" w:eastAsia="仿宋_GB2312" w:cs="仿宋_GB2312"/>
          <w:b w:val="0"/>
          <w:bCs w:val="0"/>
          <w:color w:val="000000"/>
          <w:sz w:val="32"/>
          <w:szCs w:val="32"/>
        </w:rPr>
        <w:t>持续深化“点面结合”和“人防+技防”风险监测预警体系建设持续推进“专群结合”发展。加强地质灾害气象预警预报，加强部门间信息资源利用，实现信息共享综合优势，加强已建专业监测设备的运行维护，优化监测预警模型、预警阈值设定，加强对监测数据的综合分析、异常信息的研判处置，进一步完善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地质灾害监测台站网络体系，提升气象风险预警信息的精准度和指向性。细化预警发布、交通管制、人员转移等处置流程，严格落实避险管理，把及时撤离受威胁群众作为重要任务，做到“应转尽转、应转早转、应转快转”，确保避险转移的闭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val="0"/>
          <w:bCs w:val="0"/>
          <w:color w:val="auto"/>
          <w:sz w:val="32"/>
          <w:szCs w:val="32"/>
          <w:u w:val="none"/>
          <w:lang w:val="en-US" w:eastAsia="zh-CN"/>
        </w:rPr>
        <w:t>（五）做好宣传教育，普及防灾知识。</w:t>
      </w:r>
      <w:r>
        <w:rPr>
          <w:rFonts w:hint="eastAsia" w:ascii="仿宋_GB2312" w:hAnsi="仿宋_GB2312" w:eastAsia="仿宋_GB2312" w:cs="仿宋_GB2312"/>
          <w:color w:val="000000"/>
          <w:sz w:val="32"/>
          <w:szCs w:val="32"/>
        </w:rPr>
        <w:t>加强对突发性地质灾害基本知识、地质灾害防治法律、法规的宣传教育，通过培训、讲座、布告、标语、电视、典型事例剖析等各种形式，普及地质灾害防治知识和经验。积极开展地质灾害应急演练，通过实战方式对突发地质灾害预警预报、群测群防网络体系、应急预案实施、部门联动机制等方面进行综合性检验评判、考核及改进，提高群众防灾意识和临灾自救能力</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rPr>
      </w:pPr>
      <w:r>
        <w:rPr>
          <w:rFonts w:hint="eastAsia" w:ascii="楷体" w:hAnsi="楷体" w:eastAsia="楷体" w:cs="楷体"/>
          <w:b w:val="0"/>
          <w:bCs w:val="0"/>
          <w:color w:val="auto"/>
          <w:sz w:val="32"/>
          <w:szCs w:val="32"/>
          <w:u w:val="none"/>
          <w:lang w:val="en-US" w:eastAsia="zh-CN"/>
        </w:rPr>
        <w:t>（六）加强规划管控，做好源头治理。</w:t>
      </w:r>
      <w:r>
        <w:rPr>
          <w:rFonts w:hint="eastAsia" w:ascii="仿宋_GB2312" w:hAnsi="仿宋_GB2312" w:eastAsia="仿宋_GB2312" w:cs="仿宋_GB2312"/>
          <w:color w:val="000000"/>
          <w:sz w:val="32"/>
          <w:szCs w:val="32"/>
        </w:rPr>
        <w:t>在地质灾害易发区内进行工程建设和集镇建设前，</w:t>
      </w:r>
      <w:r>
        <w:rPr>
          <w:rFonts w:hint="eastAsia" w:ascii="仿宋_GB2312" w:hAnsi="仿宋_GB2312" w:eastAsia="仿宋_GB2312" w:cs="仿宋_GB2312"/>
          <w:color w:val="000000"/>
          <w:sz w:val="32"/>
          <w:szCs w:val="32"/>
          <w:lang w:val="en-US" w:eastAsia="zh-CN"/>
        </w:rPr>
        <w:t>建设单位</w:t>
      </w:r>
      <w:r>
        <w:rPr>
          <w:rFonts w:hint="eastAsia" w:ascii="仿宋_GB2312" w:hAnsi="仿宋_GB2312" w:eastAsia="仿宋_GB2312" w:cs="仿宋_GB2312"/>
          <w:sz w:val="32"/>
          <w:szCs w:val="32"/>
        </w:rPr>
        <w:t>必须在选址阶段按照《地质灾害防治条例》规定，做好该项目危险性评估报告的编制，并根据评估报告的建议，做好相关地质灾害防治工作。工程建设尽量避开高易发区，若无法避让，施工前应进行专门地质勘察工作，并提出相应的防治方案。</w:t>
      </w:r>
      <w:r>
        <w:rPr>
          <w:rFonts w:hint="eastAsia" w:ascii="仿宋_GB2312" w:hAnsi="仿宋_GB2312" w:eastAsia="仿宋_GB2312" w:cs="仿宋_GB2312"/>
          <w:sz w:val="32"/>
          <w:szCs w:val="32"/>
          <w:lang w:val="en-US" w:eastAsia="zh-CN"/>
        </w:rPr>
        <w:t>建设过程中，</w:t>
      </w:r>
      <w:r>
        <w:rPr>
          <w:rFonts w:hint="eastAsia" w:ascii="仿宋_GB2312" w:hAnsi="仿宋_GB2312" w:eastAsia="仿宋_GB2312" w:cs="仿宋_GB2312"/>
          <w:sz w:val="32"/>
          <w:szCs w:val="32"/>
        </w:rPr>
        <w:t>应严格落实地质灾害防治“三同时”制度，根据建设项目规划要求做好相关防护工程。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bCs/>
          <w:i w:val="0"/>
          <w:iCs w:val="0"/>
          <w:color w:val="000000"/>
          <w:kern w:val="0"/>
          <w:sz w:val="44"/>
          <w:szCs w:val="44"/>
          <w:u w:val="none"/>
          <w:lang w:val="en-US" w:eastAsia="zh-CN" w:bidi="ar"/>
        </w:rPr>
        <w:sectPr>
          <w:footerReference r:id="rId3" w:type="default"/>
          <w:pgSz w:w="11906" w:h="16838"/>
          <w:pgMar w:top="1440" w:right="1800" w:bottom="1440" w:left="1800" w:header="851" w:footer="992" w:gutter="0"/>
          <w:cols w:space="720" w:num="1"/>
          <w:docGrid w:type="lines" w:linePitch="312" w:charSpace="0"/>
        </w:sectPr>
      </w:pPr>
    </w:p>
    <w:tbl>
      <w:tblPr>
        <w:tblStyle w:val="10"/>
        <w:tblW w:w="13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220"/>
        <w:gridCol w:w="1965"/>
        <w:gridCol w:w="1608"/>
        <w:gridCol w:w="1791"/>
        <w:gridCol w:w="2018"/>
        <w:gridCol w:w="3038"/>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blHeader/>
        </w:trPr>
        <w:tc>
          <w:tcPr>
            <w:tcW w:w="13454" w:type="dxa"/>
            <w:gridSpan w:val="8"/>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仿宋_GB2312" w:hAnsi="仿宋_GB2312" w:eastAsia="仿宋_GB2312" w:cs="仿宋_GB2312"/>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梁子湖区主要地质灾害一览表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blHeader/>
        </w:trPr>
        <w:tc>
          <w:tcPr>
            <w:tcW w:w="3831" w:type="dxa"/>
            <w:gridSpan w:val="3"/>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bottom"/>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制表单位：区自然资源和规划分局</w:t>
            </w:r>
          </w:p>
        </w:tc>
        <w:tc>
          <w:tcPr>
            <w:tcW w:w="160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bCs/>
                <w:i w:val="0"/>
                <w:iCs w:val="0"/>
                <w:color w:val="000000"/>
                <w:sz w:val="24"/>
                <w:szCs w:val="24"/>
                <w:u w:val="none"/>
              </w:rPr>
            </w:pPr>
          </w:p>
        </w:tc>
        <w:tc>
          <w:tcPr>
            <w:tcW w:w="1791"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bCs/>
                <w:i w:val="0"/>
                <w:iCs w:val="0"/>
                <w:color w:val="000000"/>
                <w:sz w:val="24"/>
                <w:szCs w:val="24"/>
                <w:u w:val="none"/>
              </w:rPr>
            </w:pPr>
          </w:p>
        </w:tc>
        <w:tc>
          <w:tcPr>
            <w:tcW w:w="201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bCs/>
                <w:i w:val="0"/>
                <w:iCs w:val="0"/>
                <w:color w:val="000000"/>
                <w:sz w:val="24"/>
                <w:szCs w:val="24"/>
                <w:u w:val="none"/>
              </w:rPr>
            </w:pPr>
          </w:p>
        </w:tc>
        <w:tc>
          <w:tcPr>
            <w:tcW w:w="4206" w:type="dxa"/>
            <w:gridSpan w:val="2"/>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制表时间：2025年6月1日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blHeader/>
        </w:trPr>
        <w:tc>
          <w:tcPr>
            <w:tcW w:w="646"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220"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镇（园区）</w:t>
            </w:r>
          </w:p>
        </w:tc>
        <w:tc>
          <w:tcPr>
            <w:tcW w:w="1965"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隐患点名称</w:t>
            </w:r>
          </w:p>
        </w:tc>
        <w:tc>
          <w:tcPr>
            <w:tcW w:w="1608"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位置</w:t>
            </w:r>
          </w:p>
        </w:tc>
        <w:tc>
          <w:tcPr>
            <w:tcW w:w="1791"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责任主体</w:t>
            </w:r>
          </w:p>
        </w:tc>
        <w:tc>
          <w:tcPr>
            <w:tcW w:w="2018"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责任单位</w:t>
            </w:r>
          </w:p>
        </w:tc>
        <w:tc>
          <w:tcPr>
            <w:tcW w:w="3038"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防治措施</w:t>
            </w:r>
          </w:p>
        </w:tc>
        <w:tc>
          <w:tcPr>
            <w:tcW w:w="1168" w:type="dxa"/>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治理情况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2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梧桐湖园区</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磨刀矶村(二组、十三组)南湖路滑坡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磨刀矶村南湖路</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梧桐湖园区管委会、区水利和湖泊局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磨刀矶村村委会、区自然资源和规划分局用地事务所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22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月山村大寨港路滑坡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月山村大寨港路</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梧桐湖园区管委会、区水利和湖泊局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月山村村委会、区自然资源和规划分局用地事务所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2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月山村南山罗家湾滑坡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月山村南山罗家湾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梧桐湖园区管委会、区农业农村局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月山村委会、区自然资源和规划分局用地事务所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22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六十村邱家湾滑坡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六十村邱家湾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梧桐湖园区管委会、区水利和湖泊局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六十村村委会、区自然资源和规划分局用地事务所</w:t>
            </w:r>
          </w:p>
        </w:tc>
        <w:tc>
          <w:tcPr>
            <w:tcW w:w="30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正在治理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东沟村向家湾港堤滑坡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东沟村向家湾港堤</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东沟镇政府、区水利和湖泊局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东沟村村委会、区自然资源和规划分局东沟自规所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2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东沟老街港堤滑坡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东沟老街港堤</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东沟镇政府、区水利和湖泊局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东沟村村委会、区自然资源和规划分局东沟自规所</w:t>
            </w:r>
          </w:p>
        </w:tc>
        <w:tc>
          <w:tcPr>
            <w:tcW w:w="30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正在治理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2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东沟村鳊鱼湾港堤滑坡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东沟村鳊鱼湾港堤</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东沟镇政府、区水利和湖泊局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东沟村村委会、区自然资源和规划分局东沟自规所</w:t>
            </w:r>
          </w:p>
        </w:tc>
        <w:tc>
          <w:tcPr>
            <w:tcW w:w="30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正在治理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梁子镇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梁子岛点将台滑坡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梁子岛点将台</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梁子镇政府、区文化和旅游局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梁子居民委员会、区文化和旅游局、区自然资源和规划分局梁子自规所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2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洪内村何兴祖湾何庆石屋后山体不稳定斜坡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洪内村何兴祖湾何庆石屋后</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22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洪内村水口何湾何深光屋后山体不稳定斜坡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洪内村水口何湾何深光屋后</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2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洪内村何兴大屋湾文化活动中心不稳定斜坡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洪内村何兴大屋湾文化活动中心屋后</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22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洪内村何协华屋后滑坡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洪内村何协华屋后</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22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洪内村新村委会崩塌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洪内村新村委会</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洪内村村委会、区自然资源和规划分局沼山自规所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22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沼山镇居委会转盘处房屋侧边山体崩塌崩塌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沼山镇红绿灯转盘处房屋侧边山体</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22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王铺村公路边坡崩塌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王铺村公路边坡</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王铺村村委会、区自然资源和规划分局沼山自规所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220"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w:t>
            </w: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王铺村熊家海湾地灾点</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王铺村熊家海湾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王铺村村委会、区自然资源和规划分局沼山自规所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220" w:type="dxa"/>
            <w:vMerge w:val="continue"/>
            <w:tcBorders>
              <w:top w:val="single" w:color="auto"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居民村为民街后山不稳定斜坡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居民村为民街后山</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220"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沼山村公路地灾点</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沼山村公路</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220"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沼山林场环线崩塌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沼山林场</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沼山林场</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市自然资源和城乡建设局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220"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国有沼山林场不稳定斜坡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沼山林场</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沼山林场</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市自然资源和城乡建设局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w:t>
            </w: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国有沼山林场</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沼山林场</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市自然资源和城乡建设局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已实施工程治理；设警示标志，组织群测群防，落实专人进行巡查，汛期暴雨季节加密监测频率；实施治理措施后做好维护工作。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杨井村北海湾滑坡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杨井村北海湾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杨井村村委会、区自然资源和规划分局沼山自规所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朱山东村启迪矿业不稳定斜坡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朱山东村启迪矿业</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沼山镇政府、鄂州市启迪矿业有限公司</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加强封闭及警戒，落实专人进行巡查，建立巡查台账，汛期及暴雨天气加密监测频率；按《矿山地质环境恢复治理方案》开展地质灾害防治工程。</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翠竹山庄崩塌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沼山镇翠竹山庄</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沼山镇政府、翠竹山庄、区自然资源和规划分局沼山自规所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夏咀村胡朝宝崩塌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夏咀村胡朝宝</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沼山镇政府、区交通运输局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夏咀村村委会、区自然资源和规划分局沼山自规所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22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邱山村上洪湾滑坡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邱山村上洪湾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太和镇政府、区交通运输局、区水利和湖泊局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邱山村邱家新屋湾58号不稳定斜坡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邱山村邱家新屋湾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邱山村柯仕陆湾不稳定斜坡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邱山村柯仕陆湾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邱山村6组公路不稳定斜坡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邱山村6组</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邱山村村委会、区自然资源和规划分局太和自规所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上洪村5组不稳定斜坡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上洪村5组</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122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上洪村王家洪湾18号房屋屋后滑坡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上洪村王家洪湾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上洪村王家洪湾2号房屋屋后滑坡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上洪村王家洪湾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上洪村张明屋湾滑坡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上洪村张明屋湾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上洪村6组胜家海湾滑坡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上洪村6组胜家海湾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吴伯浩村柴家洪湾19号房屋屋后滑坡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吴伯浩村柴家洪湾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22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吴伯浩村柴家洪湾6号屋后不稳定斜坡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吴伯浩村柴家洪湾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吴伯浩村伯浩湾北侧崩塌</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吴伯浩村伯浩湾北侧</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吴伯浩村梅洪湾公路内侧不稳定斜坡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吴伯浩村梅洪湾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吴伯浩村村委会、区自然资源和规划分局太和自规所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谢培村青峰寺北侧不稳定斜坡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谢培村青峰寺</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太和镇政府、区民宗局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谢培村村委会、区自然资源和规划分局太和自规所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新屋村肖家湾不稳定斜坡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新屋村肖家湾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新屋村村委会、区自然资源和规划分局太和自规所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已实施工程治理；设警示标志，落实专人进行巡查，汛期及暴雨天气加密监测频率；组织群测群防，开展应急演练。</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22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牛石村5号滑坡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牛石村移民湾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牛石村村委会、区自然资源和规划分局太和自规所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牛石村傅家洪滑坡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牛石村傅家洪</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太和镇政府、区交通运输局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牛石村村委会、区自然资源和规划分局太和自规所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狮子口村狮子山滑坡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狮子口村狮子山</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狮子口村村委会、区自然资源和规划分局太和自规所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已实施工程治理及专业监测；设警示标志，落实专人进行坡体巡查，汛期及暴雨天气加密监测频率。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新城村余家咀湾不稳定斜坡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新城村余家咀湾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太和镇政府、区交通运输局、区农业农村局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新城村村委会、区自然资源和规划分局太和自规所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花黄村面黄湾滑坡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花黄村长兴禅寺后山</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太和镇政府、区民宗局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花黄村村委会、区自然资源和规划分局太和自规所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122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陈太村滑坡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陈太村四十八蹬景区</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太和镇政府、区文化和旅游局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已实施工程治理；设警示标志，落实专人进行坡体巡查，汛期及暴雨天气加密监测频率；实施治理措施后做好维护工作。</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已治理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陈太村九组尹家湾滑坡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陈太村九组尹家湾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陈太村村委会、区自然资源和规划分局太和自规所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东边朱村胡冀黄湾滑坡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东边朱村胡冀黄湾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太和镇政府、区农业农村局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东边朱村村委会、区自然资源和规划分局太和自规所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122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涂家垴镇</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下杨村张松筹湾滑坡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下杨村张松筹湾</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涂家垴镇政府、区农业农村局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下杨村村委会、区自然资源和规划分局涂家垴自规所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exact"/>
        </w:trPr>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122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i w:val="0"/>
                <w:iCs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涂镇村十五组潘际兴屋后滑坡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涂镇村五组潘际兴屋后</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涂家垴镇政府、区农业农村局</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涂镇村村委会、区自然资源和规划分局涂家垴自规所</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设警示标志，组织群测群防，落实专人进行巡查，汛期暴雨季节加密监测频率。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待治理</w:t>
            </w:r>
          </w:p>
        </w:tc>
      </w:tr>
    </w:tbl>
    <w:p>
      <w:pPr>
        <w:keepNext w:val="0"/>
        <w:keepLines w:val="0"/>
        <w:pageBreakBefore w:val="0"/>
        <w:widowControl w:val="0"/>
        <w:tabs>
          <w:tab w:val="center" w:pos="4422"/>
          <w:tab w:val="right" w:pos="8844"/>
        </w:tabs>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zVlZjg0MTFkYzIxNGM2MDU3OWM1ZmFiMzgzN2YifQ=="/>
  </w:docVars>
  <w:rsids>
    <w:rsidRoot w:val="569E5B95"/>
    <w:rsid w:val="013D6933"/>
    <w:rsid w:val="017B04D0"/>
    <w:rsid w:val="027E2035"/>
    <w:rsid w:val="02C1359E"/>
    <w:rsid w:val="02F867E3"/>
    <w:rsid w:val="04AF486D"/>
    <w:rsid w:val="05903433"/>
    <w:rsid w:val="094964D5"/>
    <w:rsid w:val="0AB94B4C"/>
    <w:rsid w:val="0AE64BEE"/>
    <w:rsid w:val="0BFF5C28"/>
    <w:rsid w:val="0C4E0AAE"/>
    <w:rsid w:val="0C7769F8"/>
    <w:rsid w:val="0DF75009"/>
    <w:rsid w:val="0F934BB0"/>
    <w:rsid w:val="0FD1307A"/>
    <w:rsid w:val="10AD4C4A"/>
    <w:rsid w:val="112F12ED"/>
    <w:rsid w:val="121D3BEB"/>
    <w:rsid w:val="155A7987"/>
    <w:rsid w:val="17D834F3"/>
    <w:rsid w:val="18496EDB"/>
    <w:rsid w:val="1A927842"/>
    <w:rsid w:val="1B046DB6"/>
    <w:rsid w:val="1B9126E5"/>
    <w:rsid w:val="1DE830D7"/>
    <w:rsid w:val="24A77878"/>
    <w:rsid w:val="26483F00"/>
    <w:rsid w:val="26AA1817"/>
    <w:rsid w:val="296E35C5"/>
    <w:rsid w:val="2A1F347C"/>
    <w:rsid w:val="2ADA6F9C"/>
    <w:rsid w:val="2BD860E9"/>
    <w:rsid w:val="2D490895"/>
    <w:rsid w:val="2ED81487"/>
    <w:rsid w:val="304C2229"/>
    <w:rsid w:val="31432804"/>
    <w:rsid w:val="36157E08"/>
    <w:rsid w:val="38370434"/>
    <w:rsid w:val="38C95AA6"/>
    <w:rsid w:val="3AC41D77"/>
    <w:rsid w:val="3C7957B1"/>
    <w:rsid w:val="3F403114"/>
    <w:rsid w:val="41DE0948"/>
    <w:rsid w:val="4395215F"/>
    <w:rsid w:val="44BD0C8C"/>
    <w:rsid w:val="462118A2"/>
    <w:rsid w:val="46E04348"/>
    <w:rsid w:val="474D73BA"/>
    <w:rsid w:val="47DF0D79"/>
    <w:rsid w:val="487451BF"/>
    <w:rsid w:val="49847585"/>
    <w:rsid w:val="4A60645D"/>
    <w:rsid w:val="4B4B1D6F"/>
    <w:rsid w:val="4F2D339B"/>
    <w:rsid w:val="509D2F29"/>
    <w:rsid w:val="54660C14"/>
    <w:rsid w:val="55620FFC"/>
    <w:rsid w:val="55DF5E9F"/>
    <w:rsid w:val="55E470C3"/>
    <w:rsid w:val="564A1D04"/>
    <w:rsid w:val="569E5B95"/>
    <w:rsid w:val="593E12CC"/>
    <w:rsid w:val="5AE91AFB"/>
    <w:rsid w:val="5B294BC0"/>
    <w:rsid w:val="5C1D4ABF"/>
    <w:rsid w:val="60753029"/>
    <w:rsid w:val="65783DF4"/>
    <w:rsid w:val="68D2410C"/>
    <w:rsid w:val="68D43D3A"/>
    <w:rsid w:val="68F354A3"/>
    <w:rsid w:val="6E992947"/>
    <w:rsid w:val="700C1CD6"/>
    <w:rsid w:val="705D1B5A"/>
    <w:rsid w:val="70607B1A"/>
    <w:rsid w:val="738E6D8C"/>
    <w:rsid w:val="739B196F"/>
    <w:rsid w:val="73C801CE"/>
    <w:rsid w:val="77370CBC"/>
    <w:rsid w:val="7776463F"/>
    <w:rsid w:val="787C2ED2"/>
    <w:rsid w:val="78CE4D66"/>
    <w:rsid w:val="7B132396"/>
    <w:rsid w:val="7BD43812"/>
    <w:rsid w:val="7BFF0BB6"/>
    <w:rsid w:val="7FBC208F"/>
    <w:rsid w:val="D1F7D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spacing w:after="120"/>
    </w:pPr>
    <w:rPr>
      <w:rFonts w:ascii="Calibri" w:hAnsi="Calibri" w:eastAsia="宋体" w:cs="Times New Roman"/>
      <w:sz w:val="21"/>
      <w:szCs w:val="24"/>
    </w:rPr>
  </w:style>
  <w:style w:type="paragraph" w:styleId="4">
    <w:name w:val="Body Text Indent"/>
    <w:basedOn w:val="1"/>
    <w:qFormat/>
    <w:uiPriority w:val="0"/>
    <w:pPr>
      <w:spacing w:after="120" w:afterLines="0"/>
      <w:ind w:left="420" w:leftChars="200"/>
    </w:pPr>
  </w:style>
  <w:style w:type="paragraph" w:styleId="5">
    <w:name w:val="footer"/>
    <w:basedOn w:val="1"/>
    <w:next w:val="1"/>
    <w:qFormat/>
    <w:uiPriority w:val="0"/>
    <w:pPr>
      <w:tabs>
        <w:tab w:val="center" w:pos="4153"/>
        <w:tab w:val="right" w:pos="8306"/>
      </w:tabs>
      <w:snapToGrid w:val="0"/>
      <w:jc w:val="left"/>
    </w:pPr>
    <w:rPr>
      <w:kern w:val="2"/>
      <w:sz w:val="18"/>
      <w:szCs w:val="18"/>
    </w:rPr>
  </w:style>
  <w:style w:type="paragraph" w:styleId="6">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qFormat/>
    <w:uiPriority w:val="0"/>
    <w:pPr>
      <w:ind w:firstLine="420" w:firstLineChars="100"/>
    </w:pPr>
  </w:style>
  <w:style w:type="paragraph" w:styleId="9">
    <w:name w:val="Body Text First Indent 2"/>
    <w:basedOn w:val="4"/>
    <w:next w:val="1"/>
    <w:qFormat/>
    <w:uiPriority w:val="0"/>
    <w:pPr>
      <w:widowControl w:val="0"/>
      <w:spacing w:after="0" w:afterLines="0"/>
      <w:ind w:left="420" w:leftChars="200" w:firstLine="420" w:firstLineChars="200"/>
      <w:jc w:val="both"/>
    </w:pPr>
    <w:rPr>
      <w:rFonts w:ascii="Calibri" w:hAnsi="Calibri" w:eastAsia="宋体" w:cs="Times New Roman"/>
      <w:kern w:val="2"/>
      <w:sz w:val="21"/>
      <w:szCs w:val="24"/>
      <w:lang w:val="en-US" w:eastAsia="zh-CN" w:bidi="ar-SA"/>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new"/>
    <w:basedOn w:val="1"/>
    <w:qFormat/>
    <w:uiPriority w:val="0"/>
    <w:pPr>
      <w:adjustRightInd w:val="0"/>
      <w:snapToGrid w:val="0"/>
      <w:ind w:firstLine="480" w:firstLineChars="200"/>
    </w:pPr>
  </w:style>
  <w:style w:type="paragraph" w:customStyle="1" w:styleId="14">
    <w:name w:val="正文文字"/>
    <w:basedOn w:val="8"/>
    <w:next w:val="1"/>
    <w:qFormat/>
    <w:uiPriority w:val="99"/>
    <w:pPr>
      <w:ind w:firstLine="0" w:firstLineChars="0"/>
    </w:pPr>
    <w:rPr>
      <w:rFonts w:ascii="Times New Roman" w:hAnsi="Times New Roman" w:eastAsia="仿宋_GB2312"/>
      <w:sz w:val="24"/>
    </w:rPr>
  </w:style>
  <w:style w:type="paragraph" w:customStyle="1" w:styleId="15">
    <w:name w:val="首行缩进"/>
    <w:basedOn w:val="1"/>
    <w:qFormat/>
    <w:uiPriority w:val="0"/>
    <w:pPr>
      <w:ind w:firstLine="480" w:firstLineChars="200"/>
    </w:pPr>
    <w:rPr>
      <w:lang w:val="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OneDrive\&#26700;&#38754;\&#24037;&#20316;&#31807;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t>梁子湖区地质灾害类型与数量直方图</a:t>
            </a:r>
          </a:p>
        </c:rich>
      </c:tx>
      <c:layout>
        <c:manualLayout>
          <c:xMode val="edge"/>
          <c:yMode val="edge"/>
          <c:x val="0.219163542624237"/>
          <c:y val="0.0307835280245421"/>
        </c:manualLayout>
      </c:layout>
      <c:overlay val="0"/>
      <c:spPr>
        <a:noFill/>
        <a:ln>
          <a:noFill/>
        </a:ln>
        <a:effectLst/>
      </c:spPr>
    </c:title>
    <c:autoTitleDeleted val="0"/>
    <c:plotArea>
      <c:layout/>
      <c:barChart>
        <c:barDir val="col"/>
        <c:grouping val="clustered"/>
        <c:varyColors val="0"/>
        <c:ser>
          <c:idx val="0"/>
          <c:order val="0"/>
          <c:tx>
            <c:strRef>
              <c:f>[工作簿1111.xlsx]Sheet1!$B$1</c:f>
              <c:strCache>
                <c:ptCount val="1"/>
                <c:pt idx="0">
                  <c:v>滑坡</c:v>
                </c:pt>
              </c:strCache>
            </c:strRef>
          </c:tx>
          <c:spPr>
            <a:solidFill>
              <a:srgbClr val="4F81BD"/>
            </a:solidFill>
            <a:ln>
              <a:noFill/>
            </a:ln>
            <a:effectLst/>
          </c:spPr>
          <c:invertIfNegative val="0"/>
          <c:dLbls>
            <c:delete val="1"/>
          </c:dLbls>
          <c:cat>
            <c:strRef>
              <c:f>[工作簿1111.xlsx]Sheet1!$A$2:$A$7</c:f>
              <c:strCache>
                <c:ptCount val="6"/>
                <c:pt idx="0">
                  <c:v>梧桐湖园区</c:v>
                </c:pt>
                <c:pt idx="1">
                  <c:v>东沟镇</c:v>
                </c:pt>
                <c:pt idx="2">
                  <c:v>梁子镇</c:v>
                </c:pt>
                <c:pt idx="3">
                  <c:v>沼山镇</c:v>
                </c:pt>
                <c:pt idx="4">
                  <c:v>太和镇</c:v>
                </c:pt>
                <c:pt idx="5">
                  <c:v>涂家垴镇</c:v>
                </c:pt>
              </c:strCache>
            </c:strRef>
          </c:cat>
          <c:val>
            <c:numRef>
              <c:f>[工作簿1111.xlsx]Sheet1!$B$2:$B$7</c:f>
              <c:numCache>
                <c:formatCode>General</c:formatCode>
                <c:ptCount val="6"/>
                <c:pt idx="0">
                  <c:v>4</c:v>
                </c:pt>
                <c:pt idx="1">
                  <c:v>3</c:v>
                </c:pt>
                <c:pt idx="2">
                  <c:v>1</c:v>
                </c:pt>
                <c:pt idx="3">
                  <c:v>2</c:v>
                </c:pt>
                <c:pt idx="4">
                  <c:v>12</c:v>
                </c:pt>
                <c:pt idx="5">
                  <c:v>2</c:v>
                </c:pt>
              </c:numCache>
            </c:numRef>
          </c:val>
        </c:ser>
        <c:ser>
          <c:idx val="1"/>
          <c:order val="1"/>
          <c:tx>
            <c:strRef>
              <c:f>[工作簿1111.xlsx]Sheet1!$C$1</c:f>
              <c:strCache>
                <c:ptCount val="1"/>
                <c:pt idx="0">
                  <c:v>不稳定斜坡</c:v>
                </c:pt>
              </c:strCache>
            </c:strRef>
          </c:tx>
          <c:spPr>
            <a:solidFill>
              <a:srgbClr val="C0504D"/>
            </a:solidFill>
            <a:ln>
              <a:noFill/>
            </a:ln>
            <a:effectLst/>
          </c:spPr>
          <c:invertIfNegative val="0"/>
          <c:dLbls>
            <c:delete val="1"/>
          </c:dLbls>
          <c:cat>
            <c:strRef>
              <c:f>[工作簿1111.xlsx]Sheet1!$A$2:$A$7</c:f>
              <c:strCache>
                <c:ptCount val="6"/>
                <c:pt idx="0">
                  <c:v>梧桐湖园区</c:v>
                </c:pt>
                <c:pt idx="1">
                  <c:v>东沟镇</c:v>
                </c:pt>
                <c:pt idx="2">
                  <c:v>梁子镇</c:v>
                </c:pt>
                <c:pt idx="3">
                  <c:v>沼山镇</c:v>
                </c:pt>
                <c:pt idx="4">
                  <c:v>太和镇</c:v>
                </c:pt>
                <c:pt idx="5">
                  <c:v>涂家垴镇</c:v>
                </c:pt>
              </c:strCache>
            </c:strRef>
          </c:cat>
          <c:val>
            <c:numRef>
              <c:f>[工作簿1111.xlsx]Sheet1!$C$2:$C$7</c:f>
              <c:numCache>
                <c:formatCode>General</c:formatCode>
                <c:ptCount val="6"/>
                <c:pt idx="0">
                  <c:v>0</c:v>
                </c:pt>
                <c:pt idx="1">
                  <c:v>0</c:v>
                </c:pt>
                <c:pt idx="2">
                  <c:v>0</c:v>
                </c:pt>
                <c:pt idx="3">
                  <c:v>9</c:v>
                </c:pt>
                <c:pt idx="4">
                  <c:v>10</c:v>
                </c:pt>
                <c:pt idx="5">
                  <c:v>0</c:v>
                </c:pt>
              </c:numCache>
            </c:numRef>
          </c:val>
        </c:ser>
        <c:ser>
          <c:idx val="2"/>
          <c:order val="2"/>
          <c:tx>
            <c:strRef>
              <c:f>[工作簿1111.xlsx]Sheet1!$D$1</c:f>
              <c:strCache>
                <c:ptCount val="1"/>
                <c:pt idx="0">
                  <c:v>崩塌</c:v>
                </c:pt>
              </c:strCache>
            </c:strRef>
          </c:tx>
          <c:spPr>
            <a:solidFill>
              <a:srgbClr val="9BBB59"/>
            </a:solidFill>
            <a:ln>
              <a:noFill/>
            </a:ln>
            <a:effectLst/>
          </c:spPr>
          <c:invertIfNegative val="0"/>
          <c:dLbls>
            <c:delete val="1"/>
          </c:dLbls>
          <c:cat>
            <c:strRef>
              <c:f>[工作簿1111.xlsx]Sheet1!$A$2:$A$7</c:f>
              <c:strCache>
                <c:ptCount val="6"/>
                <c:pt idx="0">
                  <c:v>梧桐湖园区</c:v>
                </c:pt>
                <c:pt idx="1">
                  <c:v>东沟镇</c:v>
                </c:pt>
                <c:pt idx="2">
                  <c:v>梁子镇</c:v>
                </c:pt>
                <c:pt idx="3">
                  <c:v>沼山镇</c:v>
                </c:pt>
                <c:pt idx="4">
                  <c:v>太和镇</c:v>
                </c:pt>
                <c:pt idx="5">
                  <c:v>涂家垴镇</c:v>
                </c:pt>
              </c:strCache>
            </c:strRef>
          </c:cat>
          <c:val>
            <c:numRef>
              <c:f>[工作簿1111.xlsx]Sheet1!$D$2:$D$7</c:f>
              <c:numCache>
                <c:formatCode>General</c:formatCode>
                <c:ptCount val="6"/>
                <c:pt idx="0">
                  <c:v>0</c:v>
                </c:pt>
                <c:pt idx="1">
                  <c:v>0</c:v>
                </c:pt>
                <c:pt idx="2">
                  <c:v>0</c:v>
                </c:pt>
                <c:pt idx="3">
                  <c:v>7</c:v>
                </c:pt>
                <c:pt idx="4">
                  <c:v>0</c:v>
                </c:pt>
                <c:pt idx="5">
                  <c:v>0</c:v>
                </c:pt>
              </c:numCache>
            </c:numRef>
          </c:val>
        </c:ser>
        <c:dLbls>
          <c:showLegendKey val="0"/>
          <c:showVal val="0"/>
          <c:showCatName val="0"/>
          <c:showSerName val="0"/>
          <c:showPercent val="0"/>
          <c:showBubbleSize val="0"/>
        </c:dLbls>
        <c:gapWidth val="216"/>
        <c:overlap val="-32"/>
        <c:axId val="430407721"/>
        <c:axId val="51105335"/>
      </c:barChart>
      <c:catAx>
        <c:axId val="430407721"/>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1105335"/>
        <c:crosses val="autoZero"/>
        <c:auto val="1"/>
        <c:lblAlgn val="ctr"/>
        <c:lblOffset val="100"/>
        <c:noMultiLvlLbl val="0"/>
      </c:catAx>
      <c:valAx>
        <c:axId val="51105335"/>
        <c:scaling>
          <c:orientation val="minMax"/>
        </c:scaling>
        <c:delete val="0"/>
        <c:axPos val="l"/>
        <c:majorGridlines>
          <c:spPr>
            <a:ln w="9525" cap="flat" cmpd="sng" algn="ctr">
              <a:solidFill>
                <a:srgbClr val="E6E6E6">
                  <a:lumMod val="902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30407721"/>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dTable>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3">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519</Words>
  <Characters>571</Characters>
  <Lines>0</Lines>
  <Paragraphs>0</Paragraphs>
  <TotalTime>145</TotalTime>
  <ScaleCrop>false</ScaleCrop>
  <LinksUpToDate>false</LinksUpToDate>
  <CharactersWithSpaces>604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2020-10-16T06:18:00Z</dcterms:created>
  <dc:creator>bigway</dc:creator>
  <cp:lastModifiedBy>huawei</cp:lastModifiedBy>
  <cp:lastPrinted>2025-06-04T16:27:00Z</cp:lastPrinted>
  <dcterms:modified xsi:type="dcterms:W3CDTF">2025-09-04T11:11:46Z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6E3A6B957A87A0F07203B9689911373A</vt:lpwstr>
  </property>
</Properties>
</file>