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D0192C">
      <w:pPr>
        <w:pStyle w:val="4"/>
        <w:spacing w:line="700" w:lineRule="exact"/>
        <w:jc w:val="center"/>
        <w:rPr>
          <w:rFonts w:hint="eastAsia" w:ascii="Times New Roman" w:hAnsi="Times New Roman" w:eastAsia="方正小标宋简体" w:cs="Times New Roman"/>
          <w:sz w:val="44"/>
          <w:szCs w:val="44"/>
        </w:rPr>
      </w:pPr>
      <w:r>
        <w:rPr>
          <w:rFonts w:ascii="Times New Roman" w:hAnsi="Times New Roman" w:eastAsia="方正小标宋简体" w:cs="Times New Roman"/>
          <w:sz w:val="44"/>
          <w:szCs w:val="44"/>
        </w:rPr>
        <w:t>鄂州市规划管理技术规定</w:t>
      </w:r>
    </w:p>
    <w:p w14:paraId="647B5F35">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ascii="Times New Roman" w:hAnsi="Times New Roman" w:eastAsia="黑体" w:cs="Times New Roman"/>
          <w:color w:val="auto"/>
          <w:sz w:val="32"/>
          <w:szCs w:val="32"/>
        </w:rPr>
      </w:pPr>
    </w:p>
    <w:p w14:paraId="6533191D">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第一章  总 则</w:t>
      </w:r>
    </w:p>
    <w:p w14:paraId="39BCFA02">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Times New Roman" w:eastAsia="仿宋_GB2312" w:cs="Times New Roman"/>
          <w:color w:val="auto"/>
          <w:sz w:val="32"/>
          <w:szCs w:val="32"/>
        </w:rPr>
      </w:pPr>
    </w:p>
    <w:p w14:paraId="3EC6A083">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第一条</w:t>
      </w:r>
      <w:r>
        <w:rPr>
          <w:rFonts w:hint="eastAsia" w:ascii="仿宋_GB2312" w:hAnsi="仿宋_GB2312" w:eastAsia="仿宋_GB2312" w:cs="仿宋_GB2312"/>
          <w:color w:val="auto"/>
          <w:sz w:val="32"/>
          <w:szCs w:val="32"/>
        </w:rPr>
        <w:t xml:space="preserve"> 为</w:t>
      </w:r>
      <w:r>
        <w:rPr>
          <w:rFonts w:hint="eastAsia" w:ascii="仿宋_GB2312" w:hAnsi="仿宋_GB2312" w:eastAsia="仿宋_GB2312" w:cs="仿宋_GB2312"/>
          <w:color w:val="auto"/>
          <w:sz w:val="32"/>
          <w:szCs w:val="32"/>
          <w:lang w:eastAsia="zh-CN"/>
        </w:rPr>
        <w:t>了</w:t>
      </w:r>
      <w:r>
        <w:rPr>
          <w:rFonts w:hint="eastAsia" w:ascii="仿宋_GB2312" w:hAnsi="仿宋_GB2312" w:eastAsia="仿宋_GB2312" w:cs="仿宋_GB2312"/>
          <w:color w:val="auto"/>
          <w:sz w:val="32"/>
          <w:szCs w:val="32"/>
        </w:rPr>
        <w:t>规范建设工程规划管理工作，实现建设工程规划管理的标准化和法制化，保障规划的顺利实施，根据《中华人民共和国城乡规划法》等法律、法规和技术规范，结合本市实际，制定本规定。</w:t>
      </w:r>
    </w:p>
    <w:p w14:paraId="142062C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第二条</w:t>
      </w:r>
      <w:r>
        <w:rPr>
          <w:rFonts w:hint="eastAsia" w:ascii="仿宋_GB2312" w:hAnsi="仿宋_GB2312" w:eastAsia="仿宋_GB2312" w:cs="仿宋_GB2312"/>
          <w:color w:val="auto"/>
          <w:sz w:val="32"/>
          <w:szCs w:val="32"/>
        </w:rPr>
        <w:t xml:space="preserve"> 凡在本市域城市（含新区、开发区</w:t>
      </w:r>
      <w:r>
        <w:rPr>
          <w:rFonts w:hint="eastAsia" w:ascii="仿宋_GB2312" w:hAnsi="仿宋_GB2312" w:eastAsia="仿宋_GB2312" w:cs="仿宋_GB2312"/>
          <w:color w:val="auto"/>
          <w:sz w:val="32"/>
          <w:szCs w:val="32"/>
          <w:lang w:eastAsia="zh-CN"/>
        </w:rPr>
        <w:t>、临空经济区</w:t>
      </w:r>
      <w:r>
        <w:rPr>
          <w:rFonts w:hint="eastAsia" w:ascii="仿宋_GB2312" w:hAnsi="仿宋_GB2312" w:eastAsia="仿宋_GB2312" w:cs="仿宋_GB2312"/>
          <w:color w:val="auto"/>
          <w:sz w:val="32"/>
          <w:szCs w:val="32"/>
        </w:rPr>
        <w:t>）和镇(乡）规划区内进行建设活动除应当遵守有关法律、法规、规章和上级国家机关的规范性文件、标准等外，还必须遵守本规定。</w:t>
      </w:r>
    </w:p>
    <w:p w14:paraId="2660C77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第三条</w:t>
      </w:r>
      <w:r>
        <w:rPr>
          <w:rFonts w:hint="eastAsia" w:ascii="仿宋_GB2312" w:hAnsi="仿宋_GB2312" w:eastAsia="仿宋_GB2312" w:cs="仿宋_GB2312"/>
          <w:color w:val="auto"/>
          <w:sz w:val="32"/>
          <w:szCs w:val="32"/>
        </w:rPr>
        <w:t xml:space="preserve"> 本规定由市</w:t>
      </w:r>
      <w:r>
        <w:rPr>
          <w:rFonts w:hint="eastAsia" w:ascii="仿宋_GB2312" w:hAnsi="仿宋_GB2312" w:eastAsia="仿宋_GB2312" w:cs="仿宋_GB2312"/>
          <w:color w:val="auto"/>
          <w:sz w:val="32"/>
          <w:szCs w:val="32"/>
          <w:lang w:eastAsia="zh-CN"/>
        </w:rPr>
        <w:t>自然资源和规划</w:t>
      </w:r>
      <w:r>
        <w:rPr>
          <w:rFonts w:hint="eastAsia" w:ascii="仿宋_GB2312" w:hAnsi="仿宋_GB2312" w:eastAsia="仿宋_GB2312" w:cs="仿宋_GB2312"/>
          <w:color w:val="auto"/>
          <w:sz w:val="32"/>
          <w:szCs w:val="32"/>
        </w:rPr>
        <w:t>行政主管部门负责组织实施。</w:t>
      </w:r>
    </w:p>
    <w:p w14:paraId="5E9576A5">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住建</w:t>
      </w:r>
      <w:r>
        <w:rPr>
          <w:rFonts w:hint="eastAsia" w:ascii="仿宋_GB2312" w:hAnsi="仿宋_GB2312" w:eastAsia="仿宋_GB2312" w:cs="仿宋_GB2312"/>
          <w:color w:val="auto"/>
          <w:sz w:val="32"/>
          <w:szCs w:val="32"/>
        </w:rPr>
        <w:t>、交通运输、公安交管、消防、城管、</w:t>
      </w:r>
      <w:r>
        <w:rPr>
          <w:rFonts w:hint="eastAsia" w:ascii="仿宋_GB2312" w:hAnsi="仿宋_GB2312" w:eastAsia="仿宋_GB2312" w:cs="仿宋_GB2312"/>
          <w:color w:val="auto"/>
          <w:sz w:val="32"/>
          <w:szCs w:val="32"/>
          <w:lang w:eastAsia="zh-CN"/>
        </w:rPr>
        <w:t>水利和湖泊</w:t>
      </w:r>
      <w:r>
        <w:rPr>
          <w:rFonts w:hint="eastAsia" w:ascii="仿宋_GB2312" w:hAnsi="仿宋_GB2312" w:eastAsia="仿宋_GB2312" w:cs="仿宋_GB2312"/>
          <w:color w:val="auto"/>
          <w:sz w:val="32"/>
          <w:szCs w:val="32"/>
        </w:rPr>
        <w:t>等部门按照各自职责做好相关工作。</w:t>
      </w:r>
    </w:p>
    <w:p w14:paraId="2A2A07B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第四条</w:t>
      </w:r>
      <w:r>
        <w:rPr>
          <w:rFonts w:hint="eastAsia" w:ascii="仿宋_GB2312" w:hAnsi="仿宋_GB2312" w:eastAsia="仿宋_GB2312" w:cs="仿宋_GB2312"/>
          <w:color w:val="auto"/>
          <w:sz w:val="32"/>
          <w:szCs w:val="32"/>
        </w:rPr>
        <w:t xml:space="preserve"> 规划管理应当发挥规划引领城乡建设、改善生态环境、维护社会公平、保障公共安全和公众利益的公共政策作用，坚持以人为本，实现经济社会全面、协调、可持续发展。</w:t>
      </w:r>
    </w:p>
    <w:p w14:paraId="40CBC2C1">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第五条</w:t>
      </w:r>
      <w:r>
        <w:rPr>
          <w:rFonts w:hint="eastAsia" w:ascii="仿宋_GB2312" w:hAnsi="仿宋_GB2312" w:eastAsia="仿宋_GB2312" w:cs="仿宋_GB2312"/>
          <w:color w:val="auto"/>
          <w:sz w:val="32"/>
          <w:szCs w:val="32"/>
        </w:rPr>
        <w:t xml:space="preserve"> 鼓励开展规划科学技术研究，推广和应用先进技术，加强规划管理信息化建设，提高规划的科技水平和管理效能。</w:t>
      </w:r>
    </w:p>
    <w:p w14:paraId="16E78AE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第二章 建设用地管理</w:t>
      </w:r>
    </w:p>
    <w:p w14:paraId="163AAB8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14:paraId="29C79A2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第六条</w:t>
      </w:r>
      <w:r>
        <w:rPr>
          <w:rFonts w:hint="eastAsia" w:ascii="仿宋_GB2312" w:hAnsi="仿宋_GB2312" w:eastAsia="仿宋_GB2312" w:cs="仿宋_GB2312"/>
          <w:color w:val="auto"/>
          <w:sz w:val="32"/>
          <w:szCs w:val="32"/>
        </w:rPr>
        <w:t xml:space="preserve"> 建设用地使用和建设项目选址，应当以控制性详细规划为依据，并遵循建设用地兼容性的原则。</w:t>
      </w:r>
    </w:p>
    <w:p w14:paraId="29FCFF9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用地使用性质应当根据控制性详细规划和建设用地兼容性规定（附录二）确定。尚无控制性详细规划或者控制性详细规划正在修改的地块，因国家、省或者市重点项目需要使用土地的，建设用地性质的确定应当结合总体规划、专项规划、城市设计等要求，进行规划论证。</w:t>
      </w:r>
    </w:p>
    <w:p w14:paraId="2999FF8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第七条</w:t>
      </w:r>
      <w:r>
        <w:rPr>
          <w:rFonts w:hint="eastAsia" w:ascii="仿宋_GB2312" w:hAnsi="仿宋_GB2312" w:eastAsia="仿宋_GB2312" w:cs="仿宋_GB2312"/>
          <w:color w:val="auto"/>
          <w:sz w:val="32"/>
          <w:szCs w:val="32"/>
        </w:rPr>
        <w:t xml:space="preserve"> 建设用地使用和建设项目的选址应当符合集约利用、整体实施的原则，除公益性设施和公用设施外，建设项目的用地规模应当满足最小开发单元的要求。其中，城市（含新区、开发区</w:t>
      </w:r>
      <w:r>
        <w:rPr>
          <w:rFonts w:hint="eastAsia" w:ascii="仿宋_GB2312" w:hAnsi="仿宋_GB2312" w:eastAsia="仿宋_GB2312" w:cs="仿宋_GB2312"/>
          <w:color w:val="auto"/>
          <w:sz w:val="32"/>
          <w:szCs w:val="32"/>
          <w:lang w:eastAsia="zh-CN"/>
        </w:rPr>
        <w:t>、临空经济区</w:t>
      </w:r>
      <w:r>
        <w:rPr>
          <w:rFonts w:hint="eastAsia" w:ascii="仿宋_GB2312" w:hAnsi="仿宋_GB2312" w:eastAsia="仿宋_GB2312" w:cs="仿宋_GB2312"/>
          <w:color w:val="auto"/>
          <w:sz w:val="32"/>
          <w:szCs w:val="32"/>
        </w:rPr>
        <w:t>）规划区内的居住项目应当不小于20000平方米，商业服务业设施项目应当不小于7000平方米；镇（乡）规划区内的居住项目应当不小于10000平方米，商业服务业设施项目应当不小于4000平方米，但具有下列情形之一的建设项目除外：</w:t>
      </w:r>
    </w:p>
    <w:p w14:paraId="5ADD3975">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（一）街区内邻近土地已经开发建设完成，规划期内不具备扩大建设可能性的；</w:t>
      </w:r>
    </w:p>
    <w:p w14:paraId="45AAEAB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（二）街区内邻近用地为市政公用、公益设施等，且实施特殊功能控制不宜扩大、合并实施的；</w:t>
      </w:r>
    </w:p>
    <w:p w14:paraId="38DB804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（三）零星合法建筑被鉴定为D级危险房屋，未压占规划“五线”（即红线、黄线、蓝线、绿线、紫线），且土地储备部门出具不收储说明的；</w:t>
      </w:r>
    </w:p>
    <w:p w14:paraId="0198DDF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（四）按照批准的总平面规划或者修建性详细规划，进行分期实施的；</w:t>
      </w:r>
    </w:p>
    <w:p w14:paraId="639B4C7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（五）经</w:t>
      </w:r>
      <w:r>
        <w:rPr>
          <w:rFonts w:hint="eastAsia" w:ascii="仿宋_GB2312" w:hAnsi="仿宋_GB2312" w:eastAsia="仿宋_GB2312" w:cs="仿宋_GB2312"/>
          <w:color w:val="auto"/>
          <w:sz w:val="32"/>
          <w:szCs w:val="32"/>
          <w:lang w:eastAsia="zh-CN"/>
        </w:rPr>
        <w:t>自然资源和规划</w:t>
      </w:r>
      <w:r>
        <w:rPr>
          <w:rFonts w:hint="eastAsia" w:ascii="仿宋_GB2312" w:hAnsi="仿宋_GB2312" w:eastAsia="仿宋_GB2312" w:cs="仿宋_GB2312"/>
          <w:color w:val="auto"/>
          <w:sz w:val="32"/>
          <w:szCs w:val="32"/>
        </w:rPr>
        <w:t>行政主管部门认定确需进行建设的。</w:t>
      </w:r>
    </w:p>
    <w:p w14:paraId="567CE19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用地面积低于最小开发单元的建设项目，在符合相关规划的前提下，允许实施小型市政公用设施项目，鼓励实施绿化、广场等公益性建设项目。</w:t>
      </w:r>
    </w:p>
    <w:p w14:paraId="581056A0">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15米以下（含15米）的城市公共通道不计入城市道路，纳入两侧紧邻地块的净用地面积。公共性极强的沿湖、沿山等道路，路幅小于15米</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含15米</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的，仍计入城市道路。</w:t>
      </w:r>
    </w:p>
    <w:p w14:paraId="54D55B31">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第八条</w:t>
      </w:r>
      <w:r>
        <w:rPr>
          <w:rFonts w:hint="eastAsia" w:ascii="仿宋_GB2312" w:hAnsi="仿宋_GB2312" w:eastAsia="仿宋_GB2312" w:cs="仿宋_GB2312"/>
          <w:color w:val="auto"/>
          <w:sz w:val="32"/>
          <w:szCs w:val="32"/>
        </w:rPr>
        <w:t xml:space="preserve"> 用地建设强度指标应当依据控制性详细规划确定。</w:t>
      </w:r>
    </w:p>
    <w:p w14:paraId="7D52F1F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具有下列情形之一的建设项目，用地建设强度可由</w:t>
      </w:r>
      <w:r>
        <w:rPr>
          <w:rFonts w:hint="eastAsia" w:ascii="仿宋_GB2312" w:hAnsi="仿宋_GB2312" w:eastAsia="仿宋_GB2312" w:cs="仿宋_GB2312"/>
          <w:color w:val="auto"/>
          <w:sz w:val="32"/>
          <w:szCs w:val="32"/>
          <w:lang w:eastAsia="zh-CN"/>
        </w:rPr>
        <w:t>自然资源和规划</w:t>
      </w:r>
      <w:r>
        <w:rPr>
          <w:rFonts w:hint="eastAsia" w:ascii="仿宋_GB2312" w:hAnsi="仿宋_GB2312" w:eastAsia="仿宋_GB2312" w:cs="仿宋_GB2312"/>
          <w:color w:val="auto"/>
          <w:sz w:val="32"/>
          <w:szCs w:val="32"/>
        </w:rPr>
        <w:t>行政主管部门结合具体情况制定：</w:t>
      </w:r>
    </w:p>
    <w:p w14:paraId="3CBC6B78">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（一）历史地段和文物古迹建设控制地带范围内的用地，应</w:t>
      </w:r>
      <w:r>
        <w:rPr>
          <w:rFonts w:hint="eastAsia" w:ascii="仿宋_GB2312" w:hAnsi="仿宋_GB2312" w:eastAsia="仿宋_GB2312" w:cs="仿宋_GB2312"/>
          <w:color w:val="auto"/>
          <w:sz w:val="32"/>
          <w:szCs w:val="32"/>
          <w:lang w:eastAsia="zh-CN"/>
        </w:rPr>
        <w:t>当</w:t>
      </w:r>
      <w:r>
        <w:rPr>
          <w:rFonts w:hint="eastAsia" w:ascii="仿宋_GB2312" w:hAnsi="仿宋_GB2312" w:eastAsia="仿宋_GB2312" w:cs="仿宋_GB2312"/>
          <w:color w:val="auto"/>
          <w:sz w:val="32"/>
          <w:szCs w:val="32"/>
        </w:rPr>
        <w:t>通过历史文化保护规划确定建设强度；</w:t>
      </w:r>
    </w:p>
    <w:p w14:paraId="3CB262EA">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（二）城市重点核心区域的公共服务设施通过城市设计确定建设强度；</w:t>
      </w:r>
    </w:p>
    <w:p w14:paraId="735F6913">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（三）项目按照以上方法确定的建设强度进行建设，若交通条件不能满足的，需开展交通影响评价论证，根据交通条件所能允许的建筑容量确定项目的最终建设强度。</w:t>
      </w:r>
    </w:p>
    <w:p w14:paraId="415ACA03">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第九条</w:t>
      </w:r>
      <w:r>
        <w:rPr>
          <w:rFonts w:hint="eastAsia" w:ascii="仿宋_GB2312" w:hAnsi="仿宋_GB2312" w:eastAsia="仿宋_GB2312" w:cs="仿宋_GB2312"/>
          <w:color w:val="auto"/>
          <w:sz w:val="32"/>
          <w:szCs w:val="32"/>
        </w:rPr>
        <w:t xml:space="preserve"> 建设项目选址应当符合总体规划、控制性详细规划、专项规划、单位总平面规划及有关规划要求，优先选址在现状交通和基础设施条件较好的区域。</w:t>
      </w:r>
    </w:p>
    <w:p w14:paraId="4EE0DBC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第十条</w:t>
      </w:r>
      <w:r>
        <w:rPr>
          <w:rFonts w:hint="eastAsia" w:ascii="仿宋_GB2312" w:hAnsi="仿宋_GB2312" w:eastAsia="仿宋_GB2312" w:cs="仿宋_GB2312"/>
          <w:color w:val="auto"/>
          <w:sz w:val="32"/>
          <w:szCs w:val="32"/>
        </w:rPr>
        <w:t xml:space="preserve"> 建设用地规划条件应当明确用地性质、用地面积、建筑密度、容积率、建筑面积、建筑高度、绿地率、停车位配建、公共服务设施和公用设施配建、建筑退让、规划控制绿化带、公共通道以及控制性详细规划、专项规划确定的其他要求等内容。</w:t>
      </w:r>
    </w:p>
    <w:p w14:paraId="16B96AD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居住项目的规划条件除明确前款规定的内容外，还应当按照有关规定明确其他建设要求。</w:t>
      </w:r>
    </w:p>
    <w:p w14:paraId="633A9145">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第十一条</w:t>
      </w:r>
      <w:r>
        <w:rPr>
          <w:rFonts w:hint="eastAsia" w:ascii="仿宋_GB2312" w:hAnsi="仿宋_GB2312" w:eastAsia="仿宋_GB2312" w:cs="仿宋_GB2312"/>
          <w:color w:val="auto"/>
          <w:sz w:val="32"/>
          <w:szCs w:val="32"/>
        </w:rPr>
        <w:t xml:space="preserve"> 地下空间开发利用应当贯彻统一规划、平战结合、综合开发、合理利用、市政和公共服务设施优先的原则，并符合地下空间专项规划的要求。</w:t>
      </w:r>
    </w:p>
    <w:p w14:paraId="3E95B7C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涉及地下空间开发利用的，应当明确地下空间主导功能、建设范围、建筑规模等控制性要求，并对建设起止深度、出入口设置、连通方式等提出建议性要求。</w:t>
      </w:r>
    </w:p>
    <w:p w14:paraId="4A83D3FB">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第十二条</w:t>
      </w:r>
      <w:r>
        <w:rPr>
          <w:rFonts w:hint="eastAsia" w:ascii="仿宋_GB2312" w:hAnsi="仿宋_GB2312" w:eastAsia="仿宋_GB2312" w:cs="仿宋_GB2312"/>
          <w:color w:val="auto"/>
          <w:sz w:val="32"/>
          <w:szCs w:val="32"/>
        </w:rPr>
        <w:t xml:space="preserve"> 建设项目应当遵循统一规划建设的原则，确因先期建设还建房或者实现城市建设计划目标等需要分期实施的，在符合下列要求的情况下，统一规划后可分期实施建设：</w:t>
      </w:r>
    </w:p>
    <w:p w14:paraId="2730FD02">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（一）各期用地均独立成宗、具备可开发建设的条件；</w:t>
      </w:r>
    </w:p>
    <w:p w14:paraId="566B866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（二）优先建设学校、幼儿园、养老服务、社区工作服务用房、商业服务用房、物业服务用房等公共服务配套设施和市政公用设施；</w:t>
      </w:r>
    </w:p>
    <w:p w14:paraId="5453BA82">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（三）各期用地的容积率、建筑密度等指标符合国家、省、市相关规定。</w:t>
      </w:r>
    </w:p>
    <w:p w14:paraId="1F777EE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第十三条</w:t>
      </w:r>
      <w:r>
        <w:rPr>
          <w:rFonts w:hint="eastAsia" w:ascii="仿宋_GB2312" w:hAnsi="仿宋_GB2312" w:eastAsia="仿宋_GB2312" w:cs="仿宋_GB2312"/>
          <w:color w:val="auto"/>
          <w:sz w:val="32"/>
          <w:szCs w:val="32"/>
        </w:rPr>
        <w:t xml:space="preserve"> 同一建设单位取得相邻的两块或多块用地，在符合下列要求的情况下，可统一规划建设：</w:t>
      </w:r>
    </w:p>
    <w:p w14:paraId="0CB3325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（一）各地块规划用地性质满足建设用地兼容性的要求；</w:t>
      </w:r>
    </w:p>
    <w:p w14:paraId="166BB2DA">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（二）总建设规模不突破各地块原批准建设规模之和；</w:t>
      </w:r>
    </w:p>
    <w:p w14:paraId="7F44008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（三）若各地块规划用地性质不同，并宗后应保证各功能建筑面积的比例不变；</w:t>
      </w:r>
    </w:p>
    <w:p w14:paraId="6072C635">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（四）地块涉及</w:t>
      </w:r>
      <w:bookmarkStart w:id="0" w:name="_GoBack"/>
      <w:bookmarkEnd w:id="0"/>
      <w:r>
        <w:rPr>
          <w:rFonts w:hint="eastAsia" w:ascii="仿宋_GB2312" w:hAnsi="仿宋_GB2312" w:eastAsia="仿宋_GB2312" w:cs="仿宋_GB2312"/>
          <w:color w:val="auto"/>
          <w:sz w:val="32"/>
          <w:szCs w:val="32"/>
        </w:rPr>
        <w:t>其它特殊控制要求的，并宗后其特殊控制要求不能发生变化。</w:t>
      </w:r>
    </w:p>
    <w:p w14:paraId="63FB8DDD">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14:paraId="153D5FD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第三章  建筑规划设计</w:t>
      </w:r>
    </w:p>
    <w:p w14:paraId="5BD9795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14:paraId="6A6BBFD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第十四条</w:t>
      </w:r>
      <w:r>
        <w:rPr>
          <w:rFonts w:hint="eastAsia" w:ascii="仿宋_GB2312" w:hAnsi="仿宋_GB2312" w:eastAsia="仿宋_GB2312" w:cs="仿宋_GB2312"/>
          <w:color w:val="auto"/>
          <w:sz w:val="32"/>
          <w:szCs w:val="32"/>
        </w:rPr>
        <w:t xml:space="preserve"> 临城市快速路、主干路以及临江、临湖（列入湖泊保护名录的，下同）、临山（主城区山体范围为西山、雷山、莲花山、葛山，各区、新区、开发区</w:t>
      </w:r>
      <w:r>
        <w:rPr>
          <w:rFonts w:hint="eastAsia" w:ascii="仿宋_GB2312" w:hAnsi="仿宋_GB2312" w:eastAsia="仿宋_GB2312" w:cs="仿宋_GB2312"/>
          <w:color w:val="auto"/>
          <w:sz w:val="32"/>
          <w:szCs w:val="32"/>
          <w:lang w:eastAsia="zh-CN"/>
        </w:rPr>
        <w:t>、临空经济区</w:t>
      </w:r>
      <w:r>
        <w:rPr>
          <w:rFonts w:hint="eastAsia" w:ascii="仿宋_GB2312" w:hAnsi="仿宋_GB2312" w:eastAsia="仿宋_GB2312" w:cs="仿宋_GB2312"/>
          <w:color w:val="auto"/>
          <w:sz w:val="32"/>
          <w:szCs w:val="32"/>
        </w:rPr>
        <w:t>山体范围自行确定，下同）等重点地区建筑物的建筑界面应当协调有序，主要生态景观廊道应保证视线通透。</w:t>
      </w:r>
    </w:p>
    <w:p w14:paraId="3F25F9D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第十五条</w:t>
      </w:r>
      <w:r>
        <w:rPr>
          <w:rFonts w:hint="eastAsia" w:ascii="仿宋_GB2312" w:hAnsi="仿宋_GB2312" w:eastAsia="仿宋_GB2312" w:cs="仿宋_GB2312"/>
          <w:color w:val="auto"/>
          <w:sz w:val="32"/>
          <w:szCs w:val="32"/>
        </w:rPr>
        <w:t xml:space="preserve"> 规划建筑布局应当遵循高低错落、丰富变化的空间群体关系。临城市主干路沿线及重要广场、商业区周边的住宅建筑，其建筑外立面应当进行公建化设计，不得设置开敞式阳台。</w:t>
      </w:r>
    </w:p>
    <w:p w14:paraId="3D942FDD">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第十六条</w:t>
      </w:r>
      <w:r>
        <w:rPr>
          <w:rFonts w:hint="eastAsia" w:ascii="仿宋_GB2312" w:hAnsi="仿宋_GB2312" w:eastAsia="仿宋_GB2312" w:cs="仿宋_GB2312"/>
          <w:color w:val="auto"/>
          <w:sz w:val="32"/>
          <w:szCs w:val="32"/>
        </w:rPr>
        <w:t xml:space="preserve"> 建筑物的面宽应当同时符合下列要求：</w:t>
      </w:r>
    </w:p>
    <w:p w14:paraId="5509B52B">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（一）居住建筑的建筑高度在20米及以下的，其建筑面宽不得大于80米；</w:t>
      </w:r>
    </w:p>
    <w:p w14:paraId="7320EA2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（二）居住建筑的建筑高度在20米以上的，其建筑面宽不得大于70米；</w:t>
      </w:r>
    </w:p>
    <w:p w14:paraId="7F7E93E0">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（三）临城市主干路一线的，建筑高度在20米及以上的建筑物面宽之和，不得大于其规划用地临路一侧宽度的60％；</w:t>
      </w:r>
    </w:p>
    <w:p w14:paraId="19D6EDD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（四）临江一线的，建筑高度在20米及以上建筑物面宽之和，不得大于其规划用地临江一侧宽度的50％；</w:t>
      </w:r>
    </w:p>
    <w:p w14:paraId="352E2BC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（五）临湖、临山地区一线的，建筑物面宽之和不得大于其规划用地临湖、临山一侧宽度的50％。</w:t>
      </w:r>
    </w:p>
    <w:p w14:paraId="42E03C68">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位于城市重要景观控制区或者具有标志性意义，影响城市生态景观、对建筑面宽有特殊要求的建筑工程（大型公共服务设施、纪念性建筑、大型商业综合体等），应当通过城市设计论证确定建筑体量及建筑面宽。</w:t>
      </w:r>
    </w:p>
    <w:p w14:paraId="45DC6E2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第十七条</w:t>
      </w:r>
      <w:r>
        <w:rPr>
          <w:rFonts w:hint="eastAsia" w:ascii="仿宋_GB2312" w:hAnsi="仿宋_GB2312" w:eastAsia="仿宋_GB2312" w:cs="仿宋_GB2312"/>
          <w:color w:val="auto"/>
          <w:sz w:val="32"/>
          <w:szCs w:val="32"/>
        </w:rPr>
        <w:t xml:space="preserve"> 临湖规划用地内新建建筑物的建筑高度不得大于该建筑物至沿湖泊绿地边界的距离，临山规划用地内新建建筑物的建筑高度不得大于该建筑物至山体保护绿地边界的距离。</w:t>
      </w:r>
    </w:p>
    <w:p w14:paraId="4EE8CFD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文物古迹、历史地段、机场、气象台、广播电台、电视台以及其他无线电通讯（含微波通讯）设施控制区范围内，新建建筑物的建筑高度应当符合专项规划对高度限制的规定。</w:t>
      </w:r>
    </w:p>
    <w:p w14:paraId="60388D1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按照前两款规定执行确有困难的，应当通过城市设计论证确定建筑高度。</w:t>
      </w:r>
    </w:p>
    <w:p w14:paraId="4A26CDD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第十八条</w:t>
      </w:r>
      <w:r>
        <w:rPr>
          <w:rFonts w:hint="eastAsia" w:ascii="仿宋_GB2312" w:hAnsi="仿宋_GB2312" w:eastAsia="仿宋_GB2312" w:cs="仿宋_GB2312"/>
          <w:color w:val="auto"/>
          <w:sz w:val="32"/>
          <w:szCs w:val="32"/>
        </w:rPr>
        <w:t xml:space="preserve"> 联排式低层住宅住宅设计应当符合下列要求：</w:t>
      </w:r>
    </w:p>
    <w:p w14:paraId="70A22A0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（一）不得在底层设置院落；</w:t>
      </w:r>
    </w:p>
    <w:p w14:paraId="0BD590C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（二）不得设置住户独立使用的地下室；</w:t>
      </w:r>
    </w:p>
    <w:p w14:paraId="41C061C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（三）相邻套型至少共用一处山墙且共用部分标高贯穿室内正负零至屋顶部分。</w:t>
      </w:r>
    </w:p>
    <w:p w14:paraId="6FC25B8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第十九条</w:t>
      </w:r>
      <w:r>
        <w:rPr>
          <w:rFonts w:hint="eastAsia" w:ascii="仿宋_GB2312" w:hAnsi="仿宋_GB2312" w:eastAsia="仿宋_GB2312" w:cs="仿宋_GB2312"/>
          <w:color w:val="auto"/>
          <w:sz w:val="32"/>
          <w:szCs w:val="32"/>
        </w:rPr>
        <w:t xml:space="preserve"> 办公建筑设计应当符合下列要求：</w:t>
      </w:r>
    </w:p>
    <w:p w14:paraId="056BB39B">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（一）办公建筑应当按层集中设置公共卫生间，不得设置飘窗；</w:t>
      </w:r>
    </w:p>
    <w:p w14:paraId="77A0080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（二）办公建筑内设置单元式办公空间的，其建筑面积总和不得大于办公总建筑面积的50%。</w:t>
      </w:r>
    </w:p>
    <w:p w14:paraId="2EBD1CE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第二十条</w:t>
      </w:r>
      <w:r>
        <w:rPr>
          <w:rFonts w:hint="eastAsia" w:ascii="仿宋_GB2312" w:hAnsi="仿宋_GB2312" w:eastAsia="仿宋_GB2312" w:cs="仿宋_GB2312"/>
          <w:color w:val="auto"/>
          <w:sz w:val="32"/>
          <w:szCs w:val="32"/>
        </w:rPr>
        <w:t xml:space="preserve"> 建筑色彩应当符合下列要求：</w:t>
      </w:r>
    </w:p>
    <w:p w14:paraId="4D520FA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除消防站、派出所、邮政局等国家规定有统一标志色彩的建筑物外，位于城市主干路、城市广场及城市公园绿地周边等城市景观节点区域内建筑色彩的色相不宜选择深灰色和红、黑、绿、蓝、橙、黄等大面积高彩度的原色；</w:t>
      </w:r>
    </w:p>
    <w:p w14:paraId="22AA2D0B">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（二）相邻的同类性质建筑物的建筑色彩应当选择同一色系，同一建筑物的主要色彩组合一般不宜超过3种，塔楼与裙房之间的色彩应协调有致；</w:t>
      </w:r>
    </w:p>
    <w:p w14:paraId="49868B6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（三）位于临江、临湖、临山地区等景观控制区域建筑物的建筑色彩应当与周边自然环境相协调，临江、临湖地区建筑色彩宜选用淡雅明朗的色系，临山地区的建筑屋顶色彩应考虑城市俯瞰效果。</w:t>
      </w:r>
    </w:p>
    <w:p w14:paraId="4C2A723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第二十一条</w:t>
      </w:r>
      <w:r>
        <w:rPr>
          <w:rFonts w:hint="eastAsia" w:ascii="仿宋_GB2312" w:hAnsi="仿宋_GB2312" w:eastAsia="仿宋_GB2312" w:cs="仿宋_GB2312"/>
          <w:color w:val="auto"/>
          <w:sz w:val="32"/>
          <w:szCs w:val="32"/>
        </w:rPr>
        <w:t xml:space="preserve"> 新建建筑物应当结合建筑的整体效果，其外立面设置的空调机位、落水管、管线等设施应当隐蔽设计，并处理好建筑屋顶所需的水、电、暖通等设备专业设计，且满足消防登高扑救操作要求。</w:t>
      </w:r>
    </w:p>
    <w:p w14:paraId="3AAE7A2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第二十二条</w:t>
      </w:r>
      <w:r>
        <w:rPr>
          <w:rFonts w:hint="eastAsia" w:ascii="仿宋_GB2312" w:hAnsi="仿宋_GB2312" w:eastAsia="仿宋_GB2312" w:cs="仿宋_GB2312"/>
          <w:color w:val="auto"/>
          <w:sz w:val="32"/>
          <w:szCs w:val="32"/>
        </w:rPr>
        <w:t xml:space="preserve"> 城市规划道路沿线规划控制的绿化带内除确需设置的市政公用设施外，不得设置停车位及建（构）筑物，并应当满足城市排水防涝的要求。</w:t>
      </w:r>
    </w:p>
    <w:p w14:paraId="2435A14A">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城市规划道路、城市绿道及城市公园沿线设置围墙的，应当采用通透、半通透或绿篱等形式。</w:t>
      </w:r>
    </w:p>
    <w:p w14:paraId="76716F11">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第二十三条</w:t>
      </w:r>
      <w:r>
        <w:rPr>
          <w:rFonts w:hint="eastAsia" w:ascii="仿宋_GB2312" w:hAnsi="仿宋_GB2312" w:eastAsia="仿宋_GB2312" w:cs="仿宋_GB2312"/>
          <w:color w:val="auto"/>
          <w:sz w:val="32"/>
          <w:szCs w:val="32"/>
        </w:rPr>
        <w:t xml:space="preserve"> 城市规划道路两侧建筑物之间或地下车库之间因通行需要设置跨越城市道路空中廊道或地下车行连通道的，应当符合下列要求：</w:t>
      </w:r>
    </w:p>
    <w:p w14:paraId="7C3BC41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（一）空中廊道的净宽度不得大于6米，廊道下净空高度不得小于5.5米，穿越宽度小于20米的城市支路的廊道下净空高度可不少于4.5米；</w:t>
      </w:r>
    </w:p>
    <w:p w14:paraId="6D0F192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（二）空中廊道需设置墩柱的，墩柱基础应当结合道路横断面形式、地下管线等控制要求予以合理布置；</w:t>
      </w:r>
    </w:p>
    <w:p w14:paraId="44D46C2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（三）设置空中廊道，应当进行专项城市景观设计论证；</w:t>
      </w:r>
    </w:p>
    <w:p w14:paraId="5530B52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（四）地下车行连通道应当符合地下管线等控制要求；</w:t>
      </w:r>
    </w:p>
    <w:p w14:paraId="2B179D21">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（五）空中廊道与地下车行连通道内不得设置商业设施。</w:t>
      </w:r>
    </w:p>
    <w:p w14:paraId="7896178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仿宋_GB2312" w:hAnsi="仿宋_GB2312" w:eastAsia="仿宋_GB2312" w:cs="仿宋_GB2312"/>
          <w:color w:val="auto"/>
          <w:sz w:val="32"/>
          <w:szCs w:val="32"/>
        </w:rPr>
      </w:pPr>
    </w:p>
    <w:p w14:paraId="371DB000">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第四章  建筑间距</w:t>
      </w:r>
    </w:p>
    <w:p w14:paraId="5BEE8DB5">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14:paraId="3444B4F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第二十四条</w:t>
      </w:r>
      <w:r>
        <w:rPr>
          <w:rFonts w:hint="eastAsia" w:ascii="仿宋_GB2312" w:hAnsi="仿宋_GB2312" w:eastAsia="仿宋_GB2312" w:cs="仿宋_GB2312"/>
          <w:color w:val="auto"/>
          <w:sz w:val="32"/>
          <w:szCs w:val="32"/>
        </w:rPr>
        <w:t xml:space="preserve"> 建筑间距应当满足城市空间景观、日照、消防、采光、通风、视觉卫生、节能等相关规范的要求，并按照下列规定计算：</w:t>
      </w:r>
    </w:p>
    <w:p w14:paraId="6D2B21AD">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（一）建筑间距按两栋建（构）筑物外墙外边缘线之间的水平距离计算；</w:t>
      </w:r>
    </w:p>
    <w:p w14:paraId="6B975B1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建筑物南北向平行布置的，建筑间距以南侧建筑物的建筑高度为标准计算；东西向平行布置的，建筑间距以较高建筑物的建筑高度为标准计算；两建筑平行布置且与正南北向夹角大于60度的，以较高建筑物的建筑高度为标准计算；</w:t>
      </w:r>
    </w:p>
    <w:p w14:paraId="7FC99A5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建筑物纵墙面外挑阳台、梯平台、走廊及凸出辅助设施部分的累加长度为纵墙面长度二分之一及以上的，其间距以最大外凸部分的垂直投影线计算；建筑物（不含塔式）山墙面有卧室和起居室（厅）门窗、阳台的，按建筑物纵墙面计算建筑间距；</w:t>
      </w:r>
    </w:p>
    <w:p w14:paraId="75C86F41">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（四）单栋建筑物内包含混合业态的建筑间距应当分别按照不同业态相对应的标准计算。</w:t>
      </w:r>
    </w:p>
    <w:p w14:paraId="5E94916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第二十五条</w:t>
      </w:r>
      <w:r>
        <w:rPr>
          <w:rFonts w:hint="eastAsia" w:ascii="仿宋_GB2312" w:hAnsi="仿宋_GB2312" w:eastAsia="仿宋_GB2312" w:cs="仿宋_GB2312"/>
          <w:color w:val="auto"/>
          <w:sz w:val="32"/>
          <w:szCs w:val="32"/>
        </w:rPr>
        <w:t xml:space="preserve"> 居住建筑南北向平行布置的，建筑间距应当符合下列要求：</w:t>
      </w:r>
    </w:p>
    <w:p w14:paraId="67C594D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（一）建筑高度20米及以下的条式建筑的间距为（附图4—1）：</w:t>
      </w:r>
    </w:p>
    <w:p w14:paraId="21598A4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1.纵墙面之间的间距不少于南侧建筑物建筑高度的1.2倍；</w:t>
      </w:r>
    </w:p>
    <w:p w14:paraId="003A297D">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2.山墙面之间的间距不少于8米；</w:t>
      </w:r>
    </w:p>
    <w:p w14:paraId="2E072B08">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3.纵墙面与山墙面的间距不少于14米。</w:t>
      </w:r>
    </w:p>
    <w:p w14:paraId="64BB722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（二）建筑高度20米以上的条式建筑的间距为（附图4—2）：</w:t>
      </w:r>
    </w:p>
    <w:p w14:paraId="38E5796B">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1.纵墙面之间的间距，20米及以下部分不少于南侧建筑物建筑高度的1.2倍，20米以上部分按照不少于所增加建筑高度的0.4倍进行递加计算，超过50米的，可按照50米确定；</w:t>
      </w:r>
    </w:p>
    <w:p w14:paraId="73FBB48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2.山墙面之间的间距不少于15米；</w:t>
      </w:r>
    </w:p>
    <w:p w14:paraId="06548DA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3.纵墙面与山墙面之间的间距，南北向不少于20米，东西向不少于18米。</w:t>
      </w:r>
    </w:p>
    <w:p w14:paraId="5D61D1D3">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（三）建筑高度20米以上的条式建筑与建筑高度20米及以下条式建筑的间距为（附图4—3）：</w:t>
      </w:r>
    </w:p>
    <w:p w14:paraId="5FA4C078">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1.建筑高度20米以上的建筑物纵墙面与建筑高度20米及以下建筑物纵墙面之间间距，以南侧建筑物建筑高度作为计算标准，分别按照本条第（一）项第1目或第（二）项第1目计算；</w:t>
      </w:r>
    </w:p>
    <w:p w14:paraId="2F8EAB58">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2.建筑高度20米以上的建筑物纵墙面与其南侧建筑高度20米及以下建筑物山墙面之间间距不少于15米，与其他方向建筑高度20米及以下建筑物山墙面之间间距不少于18米；</w:t>
      </w:r>
    </w:p>
    <w:p w14:paraId="770D183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建筑高度20米以上的建筑物山墙面与其北侧建筑高度20米及以下的建筑物纵墙面之间间距不少于20米，与其南侧建筑高度20米及以下建筑物纵墙面之间间距不少于18米，与其东西方向建筑高度20米及以下建筑物纵墙面之间间距不少于14米；</w:t>
      </w:r>
    </w:p>
    <w:p w14:paraId="6C07230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4.建筑高度20米以上的建筑物山墙面与建筑高度20米及以下建筑物山墙面之间间距不少于14米。</w:t>
      </w:r>
    </w:p>
    <w:p w14:paraId="2ECC1A7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（四）条式建筑在南北向投影的重叠面宽度小于12米的，两建筑物之间间距可不少于标准间距的0.8倍（附图4—4）。</w:t>
      </w:r>
    </w:p>
    <w:p w14:paraId="19AE4C5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条式建筑在南北向投影无重叠面的，最近点距离不少于15米。</w:t>
      </w:r>
    </w:p>
    <w:p w14:paraId="2B1A5981">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塔式建筑的间距，按照建筑物之间正南北向投影的重叠面计算（附图4—5）：无重叠面的，最近点间距不少于15米；重叠面小于12米的，建筑间距不少于20米；重叠面大于12米的，按本条第（二）项第1目计算。塔式拼接建筑按照条式建筑计算间距。</w:t>
      </w:r>
    </w:p>
    <w:p w14:paraId="1CC0D6E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（六）塔式建筑与其南北侧条式建筑纵墙面的间距按照条式建筑计算；塔式建筑与其东西侧的条式建筑纵墙面之间间距不少于18米；塔式建筑与条式建筑山墙面之间间距不少于15米（附图4—6）。</w:t>
      </w:r>
    </w:p>
    <w:p w14:paraId="1EA10AB3">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第二十六条</w:t>
      </w:r>
      <w:r>
        <w:rPr>
          <w:rFonts w:hint="eastAsia" w:ascii="仿宋_GB2312" w:hAnsi="仿宋_GB2312" w:eastAsia="仿宋_GB2312" w:cs="仿宋_GB2312"/>
          <w:color w:val="auto"/>
          <w:sz w:val="32"/>
          <w:szCs w:val="32"/>
        </w:rPr>
        <w:t xml:space="preserve"> 非居住建筑之间的间距应当符合下列要求：</w:t>
      </w:r>
    </w:p>
    <w:p w14:paraId="74B85522">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非居住建筑之间的建筑间距可按本规定第二十</w:t>
      </w:r>
      <w:r>
        <w:rPr>
          <w:rFonts w:hint="eastAsia" w:ascii="仿宋_GB2312" w:hAnsi="仿宋_GB2312" w:eastAsia="仿宋_GB2312" w:cs="仿宋_GB2312"/>
          <w:color w:val="auto"/>
          <w:sz w:val="32"/>
          <w:szCs w:val="32"/>
          <w:lang w:eastAsia="zh-CN"/>
        </w:rPr>
        <w:t>五</w:t>
      </w:r>
      <w:r>
        <w:rPr>
          <w:rFonts w:hint="eastAsia" w:ascii="仿宋_GB2312" w:hAnsi="仿宋_GB2312" w:eastAsia="仿宋_GB2312" w:cs="仿宋_GB2312"/>
          <w:color w:val="auto"/>
          <w:sz w:val="32"/>
          <w:szCs w:val="32"/>
        </w:rPr>
        <w:t>条的要求适当减少，但减少幅度不得超过20%，并符合建筑设计防火规范的间距要求。</w:t>
      </w:r>
    </w:p>
    <w:p w14:paraId="6A67ECB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第二十七条</w:t>
      </w:r>
      <w:r>
        <w:rPr>
          <w:rFonts w:hint="eastAsia" w:ascii="仿宋_GB2312" w:hAnsi="仿宋_GB2312" w:eastAsia="仿宋_GB2312" w:cs="仿宋_GB2312"/>
          <w:color w:val="auto"/>
          <w:sz w:val="32"/>
          <w:szCs w:val="32"/>
        </w:rPr>
        <w:t xml:space="preserve"> 居住建筑与其南侧非居住建筑的间距，按本规定第二十五条的要求确定；与其北、东、西侧非居住建筑的间距，可按本规定第二十五条的要求适当减少，但减少幅度不得超过20%，并应当符合建筑设计防火规范的间距要求。</w:t>
      </w:r>
    </w:p>
    <w:p w14:paraId="2042AB0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第二十八条</w:t>
      </w:r>
      <w:r>
        <w:rPr>
          <w:rFonts w:hint="eastAsia" w:ascii="仿宋_GB2312" w:hAnsi="仿宋_GB2312" w:eastAsia="仿宋_GB2312" w:cs="仿宋_GB2312"/>
          <w:color w:val="auto"/>
          <w:sz w:val="32"/>
          <w:szCs w:val="32"/>
        </w:rPr>
        <w:t xml:space="preserve"> 工业园区内，工业建筑之间的建筑间距可按照本规定第二十五条的要求适当减少，但减少幅度不得超过20%，并应当符合建筑设计防火规范的间距要求。</w:t>
      </w:r>
    </w:p>
    <w:p w14:paraId="3298A2D5">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第二十九条</w:t>
      </w:r>
      <w:r>
        <w:rPr>
          <w:rFonts w:hint="eastAsia" w:ascii="仿宋_GB2312" w:hAnsi="仿宋_GB2312" w:eastAsia="仿宋_GB2312" w:cs="仿宋_GB2312"/>
          <w:color w:val="auto"/>
          <w:sz w:val="32"/>
          <w:szCs w:val="32"/>
        </w:rPr>
        <w:t xml:space="preserve"> 非平行布置建筑物之间的间距应当符合下列要求（附图4—7）:</w:t>
      </w:r>
    </w:p>
    <w:p w14:paraId="6C6FD873">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（一）建筑物纵墙面南北向或东西向投影重叠区域中点连线距离不小于标准间距，建筑物之间最近点距离不少于标准间距的0.7倍；</w:t>
      </w:r>
    </w:p>
    <w:p w14:paraId="19C0BE8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（二）建筑物纵墙面之间夹角超过60度的，建筑物之间最近点距离不少于建筑物纵墙面与山墙面的标准间距；</w:t>
      </w:r>
    </w:p>
    <w:p w14:paraId="0347AEEA">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（三）建筑物纵墙面之间的夹角小于15度的，按照平行布置的建筑间距计算。</w:t>
      </w:r>
    </w:p>
    <w:p w14:paraId="48BAFAB8">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第三十条</w:t>
      </w:r>
      <w:r>
        <w:rPr>
          <w:rFonts w:hint="eastAsia" w:ascii="仿宋_GB2312" w:hAnsi="仿宋_GB2312" w:eastAsia="仿宋_GB2312" w:cs="仿宋_GB2312"/>
          <w:color w:val="auto"/>
          <w:sz w:val="32"/>
          <w:szCs w:val="32"/>
        </w:rPr>
        <w:t xml:space="preserve"> 文物古迹和历史地段控制区内的建设项目，根据城市规划用地条件及空间景观要求布置的新建建筑物与周边现有永久性建筑物之间间距按本章规定执行确有困难的，建筑间距可适当缩小，但不得少于建筑设计防火规范的间距要求。</w:t>
      </w:r>
    </w:p>
    <w:p w14:paraId="560DAAB3">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第三十一条</w:t>
      </w:r>
      <w:r>
        <w:rPr>
          <w:rFonts w:hint="eastAsia" w:ascii="仿宋_GB2312" w:hAnsi="仿宋_GB2312" w:eastAsia="仿宋_GB2312" w:cs="仿宋_GB2312"/>
          <w:color w:val="auto"/>
          <w:sz w:val="32"/>
          <w:szCs w:val="32"/>
        </w:rPr>
        <w:t xml:space="preserve"> 本章未涉及建筑形态的建筑间距要求，由</w:t>
      </w:r>
      <w:r>
        <w:rPr>
          <w:rFonts w:hint="eastAsia" w:ascii="仿宋_GB2312" w:hAnsi="仿宋_GB2312" w:eastAsia="仿宋_GB2312" w:cs="仿宋_GB2312"/>
          <w:color w:val="auto"/>
          <w:sz w:val="32"/>
          <w:szCs w:val="32"/>
          <w:lang w:eastAsia="zh-CN"/>
        </w:rPr>
        <w:t>自然资源和规划</w:t>
      </w:r>
      <w:r>
        <w:rPr>
          <w:rFonts w:hint="eastAsia" w:ascii="仿宋_GB2312" w:hAnsi="仿宋_GB2312" w:eastAsia="仿宋_GB2312" w:cs="仿宋_GB2312"/>
          <w:color w:val="auto"/>
          <w:sz w:val="32"/>
          <w:szCs w:val="32"/>
        </w:rPr>
        <w:t>行政主管部门结合日照、采光、通风、景观等要求和实际情况确定。</w:t>
      </w:r>
    </w:p>
    <w:p w14:paraId="11C5CD7B">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14:paraId="4EEA494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第五章  建筑日照</w:t>
      </w:r>
    </w:p>
    <w:p w14:paraId="6949166D">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14:paraId="29AD4A1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第三十二条</w:t>
      </w:r>
      <w:r>
        <w:rPr>
          <w:rFonts w:hint="eastAsia" w:ascii="仿宋_GB2312" w:hAnsi="仿宋_GB2312" w:eastAsia="仿宋_GB2312" w:cs="仿宋_GB2312"/>
          <w:color w:val="auto"/>
          <w:sz w:val="32"/>
          <w:szCs w:val="32"/>
        </w:rPr>
        <w:t xml:space="preserve"> 建筑日照分析应当采用经国家认可的日照分析软件，具体分析依照《湖北省建筑日照分析技术规范》（DB42/T 952—2014）执行。</w:t>
      </w:r>
    </w:p>
    <w:p w14:paraId="4DFFD91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第三十三条</w:t>
      </w:r>
      <w:r>
        <w:rPr>
          <w:rFonts w:hint="eastAsia" w:ascii="仿宋_GB2312" w:hAnsi="仿宋_GB2312" w:eastAsia="仿宋_GB2312" w:cs="仿宋_GB2312"/>
          <w:color w:val="auto"/>
          <w:sz w:val="32"/>
          <w:szCs w:val="32"/>
        </w:rPr>
        <w:t xml:space="preserve"> 住宅、宿舍、托幼活动场地日照分析应以大寒日8时至16时为建筑日照有效时间带。老年人居住建筑、医院病房、中小学教室、疗养院疗养室、托幼生活用房日照分析应以冬至日9时至15时为建筑日照有效时间带。建筑日照有效时间带采用真太阳时计算。</w:t>
      </w:r>
    </w:p>
    <w:p w14:paraId="004F023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第三十四条</w:t>
      </w:r>
      <w:r>
        <w:rPr>
          <w:rFonts w:hint="eastAsia" w:ascii="仿宋_GB2312" w:hAnsi="仿宋_GB2312" w:eastAsia="仿宋_GB2312" w:cs="仿宋_GB2312"/>
          <w:color w:val="auto"/>
          <w:sz w:val="32"/>
          <w:szCs w:val="32"/>
        </w:rPr>
        <w:t xml:space="preserve"> 对现状建筑进行日照分析，建筑使用性质以</w:t>
      </w:r>
      <w:r>
        <w:rPr>
          <w:rFonts w:hint="eastAsia" w:ascii="仿宋_GB2312" w:hAnsi="仿宋_GB2312" w:eastAsia="仿宋_GB2312" w:cs="仿宋_GB2312"/>
          <w:color w:val="auto"/>
          <w:sz w:val="32"/>
          <w:szCs w:val="32"/>
          <w:lang w:eastAsia="zh-CN"/>
        </w:rPr>
        <w:t>自然资源和规划</w:t>
      </w:r>
      <w:r>
        <w:rPr>
          <w:rFonts w:hint="eastAsia" w:ascii="仿宋_GB2312" w:hAnsi="仿宋_GB2312" w:eastAsia="仿宋_GB2312" w:cs="仿宋_GB2312"/>
          <w:color w:val="auto"/>
          <w:sz w:val="32"/>
          <w:szCs w:val="32"/>
        </w:rPr>
        <w:t>行政主管部门批准的规划性质为准。</w:t>
      </w:r>
    </w:p>
    <w:p w14:paraId="4A502838">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其他非住宅建筑日照标准按照国家和湖北省相关规定执行。</w:t>
      </w:r>
    </w:p>
    <w:p w14:paraId="0C65497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第三十五条</w:t>
      </w:r>
      <w:r>
        <w:rPr>
          <w:rFonts w:hint="eastAsia" w:ascii="仿宋_GB2312" w:hAnsi="仿宋_GB2312" w:eastAsia="仿宋_GB2312" w:cs="仿宋_GB2312"/>
          <w:color w:val="auto"/>
          <w:sz w:val="32"/>
          <w:szCs w:val="32"/>
        </w:rPr>
        <w:t xml:space="preserve"> 住宅建筑应当满足每套住宅至少有一个居住空间（卧室、起居室（厅），下同）能获得大寒日不低于3小时日照时间的国家标准。</w:t>
      </w:r>
    </w:p>
    <w:p w14:paraId="7927147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列入市、区人民政府(包括开发区、</w:t>
      </w:r>
      <w:r>
        <w:rPr>
          <w:rFonts w:hint="eastAsia" w:ascii="仿宋_GB2312" w:hAnsi="仿宋_GB2312" w:eastAsia="仿宋_GB2312" w:cs="仿宋_GB2312"/>
          <w:color w:val="auto"/>
          <w:sz w:val="32"/>
          <w:szCs w:val="32"/>
          <w:lang w:eastAsia="zh-CN"/>
        </w:rPr>
        <w:t>临空经济区</w:t>
      </w:r>
      <w:r>
        <w:rPr>
          <w:rFonts w:hint="eastAsia" w:ascii="仿宋_GB2312" w:hAnsi="仿宋_GB2312" w:eastAsia="仿宋_GB2312" w:cs="仿宋_GB2312"/>
          <w:color w:val="auto"/>
          <w:sz w:val="32"/>
          <w:szCs w:val="32"/>
        </w:rPr>
        <w:t>管委会）旧城改造、危房改造、城中村改造、棚户区改造、保障性住房、拆迁安置住房的建设项目，其用地范围内的新建住宅建筑应当满足每套住宅至少有一个居住空间能获得大寒日不低于1小时日照标准。</w:t>
      </w:r>
    </w:p>
    <w:p w14:paraId="4B1B7FF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第三十六条</w:t>
      </w:r>
      <w:r>
        <w:rPr>
          <w:rFonts w:hint="eastAsia" w:ascii="仿宋_GB2312" w:hAnsi="仿宋_GB2312" w:eastAsia="仿宋_GB2312" w:cs="仿宋_GB2312"/>
          <w:color w:val="auto"/>
          <w:sz w:val="32"/>
          <w:szCs w:val="32"/>
        </w:rPr>
        <w:t xml:space="preserve"> 新建建筑物不得减少周边原不满足国家日照标准的建筑物的日照时间；新建建筑物导致周边原满足国家日照标准的建筑日照时间减少的，减少后的日照时间不得低于国家日照标准。</w:t>
      </w:r>
    </w:p>
    <w:p w14:paraId="738809E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14:paraId="0D3CF92B">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第六章  建筑退让</w:t>
      </w:r>
    </w:p>
    <w:p w14:paraId="58C9EA9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14:paraId="768718E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第三十七条</w:t>
      </w:r>
      <w:r>
        <w:rPr>
          <w:rFonts w:hint="eastAsia" w:ascii="仿宋_GB2312" w:hAnsi="仿宋_GB2312" w:eastAsia="仿宋_GB2312" w:cs="仿宋_GB2312"/>
          <w:color w:val="auto"/>
          <w:sz w:val="32"/>
          <w:szCs w:val="32"/>
        </w:rPr>
        <w:t xml:space="preserve"> 建筑退让按照建筑最凸出部分的外缘垂直投影线起算。</w:t>
      </w:r>
    </w:p>
    <w:p w14:paraId="5936F6B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第三十八条</w:t>
      </w:r>
      <w:r>
        <w:rPr>
          <w:rFonts w:hint="eastAsia" w:ascii="仿宋_GB2312" w:hAnsi="仿宋_GB2312" w:eastAsia="仿宋_GB2312" w:cs="仿宋_GB2312"/>
          <w:color w:val="auto"/>
          <w:sz w:val="32"/>
          <w:szCs w:val="32"/>
        </w:rPr>
        <w:t xml:space="preserve"> 建（构）筑物退让城市规划道路红线的距离应当符合下列要求：</w:t>
      </w:r>
    </w:p>
    <w:p w14:paraId="4DBBA9A3">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（一）高度100米以下的建筑物，其退让距离不少于《不同道路宽度两侧的建筑物退让距离》（附表6—1）的规定；</w:t>
      </w:r>
    </w:p>
    <w:p w14:paraId="0DFC393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（二）高度100米以上的建筑物，其退让距离需经城市设计论证，但最小不得少于《不同道路宽度两侧的建筑物退让距离》中高度60～100米建筑物的后退距离；</w:t>
      </w:r>
    </w:p>
    <w:p w14:paraId="09A4029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（三）影剧院、游乐场、体育馆、展览馆、大型商场等有大量人流、车流集散的建筑物，其退让距离不少于25米；</w:t>
      </w:r>
    </w:p>
    <w:p w14:paraId="4CD0E273">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各类建（构）筑物的基础、围墙、挡土墙、护坡、地下室、台阶、管线、阳台、雨蓬、管道井、化粪池及其它附属设施，不得超越城市规划道路红线。围墙、挡土墙、护坡外缘线退让道路红线距离不少于3米；大门及门卫室退让道路红线的距离在此基础上应当适当加大，并不得影响城市交通；</w:t>
      </w:r>
    </w:p>
    <w:p w14:paraId="3F556B72">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（五）规划有特殊要求的，退让距离应当符合经批准的相关规划要求。</w:t>
      </w:r>
    </w:p>
    <w:p w14:paraId="20FE9DAA">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新</w:t>
      </w:r>
      <w:r>
        <w:rPr>
          <w:rFonts w:hint="eastAsia" w:ascii="仿宋_GB2312" w:hAnsi="仿宋_GB2312" w:eastAsia="仿宋_GB2312" w:cs="仿宋_GB2312"/>
          <w:color w:val="auto"/>
          <w:spacing w:val="2"/>
          <w:sz w:val="32"/>
          <w:szCs w:val="32"/>
        </w:rPr>
        <w:t>建建筑物退让高架桥和匝道结构外边缘的距离应在附表</w:t>
      </w:r>
      <w:r>
        <w:rPr>
          <w:rFonts w:hint="eastAsia" w:ascii="仿宋_GB2312" w:hAnsi="仿宋_GB2312" w:eastAsia="仿宋_GB2312" w:cs="仿宋_GB2312"/>
          <w:color w:val="auto"/>
          <w:sz w:val="32"/>
          <w:szCs w:val="32"/>
        </w:rPr>
        <w:t>6—1规定的基础上加大5米退让。</w:t>
      </w:r>
    </w:p>
    <w:p w14:paraId="678E12B1">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第三十九条</w:t>
      </w:r>
      <w:r>
        <w:rPr>
          <w:rFonts w:hint="eastAsia" w:ascii="仿宋_GB2312" w:hAnsi="仿宋_GB2312" w:eastAsia="仿宋_GB2312" w:cs="仿宋_GB2312"/>
          <w:color w:val="auto"/>
          <w:sz w:val="32"/>
          <w:szCs w:val="32"/>
        </w:rPr>
        <w:t xml:space="preserve"> 建（构）筑物退让规划用地红线的距离应当符合下列要求（附图6—1）：</w:t>
      </w:r>
    </w:p>
    <w:p w14:paraId="7AD40E0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（一）相邻建筑物双方各自从规划用地红线起计算退让距离，退让距离不少于本规定第四章确定的应退建筑间距的一半，并应满足国家日照标准的要求；</w:t>
      </w:r>
    </w:p>
    <w:p w14:paraId="6AA136F0">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相邻用地为空地，且不临城市规划道路的，建筑物退让规划用地红线的距离不少于以新建建筑物为标准计算间距的一半；不影响公共利益且经相邻用地权属单位同意的，建筑物退让用地红线的距离可适当减少；</w:t>
      </w:r>
    </w:p>
    <w:p w14:paraId="5E74A67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（三）地下室退让规划用地红线的距离，不少于自室外地面至地下室底板底部距离的0.7倍；在满足相关设计规范和技术要求的前提下可适当减少退让距离，但最小不得少于2米；</w:t>
      </w:r>
    </w:p>
    <w:p w14:paraId="226E926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相邻用地属同一权属单位的，地下室退让规划用地红线的距离可适当减少或者预留连通通道；相邻用地属不同权属单位的，经相邻用地权属单位同意后，地下室退让规划用地红线的距离可适当减少。</w:t>
      </w:r>
    </w:p>
    <w:p w14:paraId="2A07318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第四十条</w:t>
      </w:r>
      <w:r>
        <w:rPr>
          <w:rFonts w:hint="eastAsia" w:ascii="仿宋_GB2312" w:hAnsi="仿宋_GB2312" w:eastAsia="仿宋_GB2312" w:cs="仿宋_GB2312"/>
          <w:color w:val="auto"/>
          <w:sz w:val="32"/>
          <w:szCs w:val="32"/>
        </w:rPr>
        <w:t xml:space="preserve"> 工业园区内，工业建筑退让园区内部道路及规划用地红线的距离可在第三十八条、三十九条基础上适当减少，但不得少于建筑设计防火规范的要求。</w:t>
      </w:r>
    </w:p>
    <w:p w14:paraId="3587C92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第四十一条</w:t>
      </w:r>
      <w:r>
        <w:rPr>
          <w:rFonts w:hint="eastAsia" w:ascii="仿宋_GB2312" w:hAnsi="仿宋_GB2312" w:eastAsia="仿宋_GB2312" w:cs="仿宋_GB2312"/>
          <w:color w:val="auto"/>
          <w:sz w:val="32"/>
          <w:szCs w:val="32"/>
        </w:rPr>
        <w:t xml:space="preserve"> 建筑物退让城市规划道路交叉口的距离，自城市规划道路红线直线段与曲线段切点的连线算起，建筑高度20米以下的建筑物不少于20米，20米及以上的建筑物不少于30米（附图6—2）。</w:t>
      </w:r>
    </w:p>
    <w:p w14:paraId="2E06F5E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第四十二条</w:t>
      </w:r>
      <w:r>
        <w:rPr>
          <w:rFonts w:hint="eastAsia" w:ascii="仿宋_GB2312" w:hAnsi="仿宋_GB2312" w:eastAsia="仿宋_GB2312" w:cs="仿宋_GB2312"/>
          <w:color w:val="auto"/>
          <w:sz w:val="32"/>
          <w:szCs w:val="32"/>
        </w:rPr>
        <w:t xml:space="preserve"> 新建建筑物结构最外缘垂直投影线退让人行天桥结构外边缘的距离不少于7米（附图6—3）。</w:t>
      </w:r>
    </w:p>
    <w:p w14:paraId="668D0952">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第四十三条</w:t>
      </w:r>
      <w:r>
        <w:rPr>
          <w:rFonts w:hint="eastAsia" w:ascii="仿宋_GB2312" w:hAnsi="仿宋_GB2312" w:eastAsia="仿宋_GB2312" w:cs="仿宋_GB2312"/>
          <w:color w:val="auto"/>
          <w:sz w:val="32"/>
          <w:szCs w:val="32"/>
        </w:rPr>
        <w:t xml:space="preserve"> 建筑物退让城市公园绿地的距离应满足第三十九条的规定，并不少于10米。当建筑物位于公园绿地的北侧时，退让距离可适当减少，但最小不少于5米，并同时满足消防要求。</w:t>
      </w:r>
    </w:p>
    <w:p w14:paraId="6143540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第四十四条</w:t>
      </w:r>
      <w:r>
        <w:rPr>
          <w:rFonts w:hint="eastAsia" w:ascii="仿宋_GB2312" w:hAnsi="仿宋_GB2312" w:eastAsia="仿宋_GB2312" w:cs="仿宋_GB2312"/>
          <w:color w:val="auto"/>
          <w:sz w:val="32"/>
          <w:szCs w:val="32"/>
        </w:rPr>
        <w:t xml:space="preserve"> 建筑物退让城市规划道路沿线绿化控制带的距离不少于5米。</w:t>
      </w:r>
    </w:p>
    <w:p w14:paraId="50A18961">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第四十五条</w:t>
      </w:r>
      <w:r>
        <w:rPr>
          <w:rFonts w:hint="eastAsia" w:ascii="仿宋_GB2312" w:hAnsi="仿宋_GB2312" w:eastAsia="仿宋_GB2312" w:cs="仿宋_GB2312"/>
          <w:color w:val="auto"/>
          <w:sz w:val="32"/>
          <w:szCs w:val="32"/>
        </w:rPr>
        <w:t xml:space="preserve"> 建筑物退让绿线、蓝线、紫线、黄线的距离应当符合经批准的专项规划中退让距离的规定。</w:t>
      </w:r>
    </w:p>
    <w:p w14:paraId="6B6EC49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第四十六条</w:t>
      </w:r>
      <w:r>
        <w:rPr>
          <w:rFonts w:hint="eastAsia" w:ascii="仿宋_GB2312" w:hAnsi="仿宋_GB2312" w:eastAsia="仿宋_GB2312" w:cs="仿宋_GB2312"/>
          <w:color w:val="auto"/>
          <w:sz w:val="32"/>
          <w:szCs w:val="32"/>
        </w:rPr>
        <w:t xml:space="preserve"> 新建建筑物退让距离除应满足本章规定外，还应符合国家日照标准、消防、环保、防汛、交通、安全、管线敷设等方面的要求。</w:t>
      </w:r>
    </w:p>
    <w:p w14:paraId="0EE90E0D">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第七章  城市交通工程规划设计</w:t>
      </w:r>
    </w:p>
    <w:p w14:paraId="722C96B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仿宋_GB2312" w:hAnsi="仿宋_GB2312" w:eastAsia="仿宋_GB2312" w:cs="仿宋_GB2312"/>
          <w:color w:val="auto"/>
          <w:sz w:val="32"/>
          <w:szCs w:val="32"/>
        </w:rPr>
      </w:pPr>
    </w:p>
    <w:p w14:paraId="7FD2312D">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第四十七条</w:t>
      </w:r>
      <w:r>
        <w:rPr>
          <w:rFonts w:hint="eastAsia" w:ascii="仿宋_GB2312" w:hAnsi="仿宋_GB2312" w:eastAsia="仿宋_GB2312" w:cs="仿宋_GB2312"/>
          <w:color w:val="auto"/>
          <w:sz w:val="32"/>
          <w:szCs w:val="32"/>
        </w:rPr>
        <w:t xml:space="preserve"> 本市城市道路分为快速路、主干路、次干路及支路四个等级。在支路网密度不足的地区，可结合用地布局规划控制公共通道。</w:t>
      </w:r>
    </w:p>
    <w:p w14:paraId="0E8B88CB">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第四十八条</w:t>
      </w:r>
      <w:r>
        <w:rPr>
          <w:rFonts w:hint="eastAsia" w:ascii="仿宋_GB2312" w:hAnsi="仿宋_GB2312" w:eastAsia="仿宋_GB2312" w:cs="仿宋_GB2312"/>
          <w:color w:val="auto"/>
          <w:sz w:val="32"/>
          <w:szCs w:val="32"/>
        </w:rPr>
        <w:t xml:space="preserve"> 城市道路宽度按照下列规定执行：</w:t>
      </w:r>
    </w:p>
    <w:p w14:paraId="71A1E4C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（一）快速路宽度不小于50米；</w:t>
      </w:r>
    </w:p>
    <w:p w14:paraId="0F11BEB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（二）主干路宽度不小于40米；</w:t>
      </w:r>
    </w:p>
    <w:p w14:paraId="6D7CF2E8">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（三）次干路宽度为25～40米（不含40米）；</w:t>
      </w:r>
    </w:p>
    <w:p w14:paraId="122F0B35">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（四）支路宽度为15～25米（不含25米）；</w:t>
      </w:r>
    </w:p>
    <w:p w14:paraId="2BD649E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（五）具有机动车通行功能的公共通道最小宽度不少于6米。</w:t>
      </w:r>
    </w:p>
    <w:p w14:paraId="02AED6BB">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第四十九条</w:t>
      </w:r>
      <w:r>
        <w:rPr>
          <w:rFonts w:hint="eastAsia" w:ascii="仿宋_GB2312" w:hAnsi="仿宋_GB2312" w:eastAsia="仿宋_GB2312" w:cs="仿宋_GB2312"/>
          <w:color w:val="auto"/>
          <w:sz w:val="32"/>
          <w:szCs w:val="32"/>
        </w:rPr>
        <w:t xml:space="preserve"> 城市道路机动车道宽度和划线形成的路缘带宽度应当符合附表7—1的规定。</w:t>
      </w:r>
    </w:p>
    <w:p w14:paraId="720DA11B">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公交专用道的车道宽度不小于3.75米。</w:t>
      </w:r>
    </w:p>
    <w:p w14:paraId="1980D8F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城市道路平面交叉口处的车道宽度应当符合附表7—2的规定。确有困难的，可在上述标准基础上减少0.25米。</w:t>
      </w:r>
    </w:p>
    <w:p w14:paraId="1DFCACC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第五十条</w:t>
      </w:r>
      <w:r>
        <w:rPr>
          <w:rFonts w:hint="eastAsia" w:ascii="仿宋_GB2312" w:hAnsi="仿宋_GB2312" w:eastAsia="仿宋_GB2312" w:cs="仿宋_GB2312"/>
          <w:color w:val="auto"/>
          <w:sz w:val="32"/>
          <w:szCs w:val="32"/>
        </w:rPr>
        <w:t xml:space="preserve"> 城市道路中的非机动车道和人行道宽度应符合附表7—3的要求。</w:t>
      </w:r>
    </w:p>
    <w:p w14:paraId="11CDDA8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第五十一条</w:t>
      </w:r>
      <w:r>
        <w:rPr>
          <w:rFonts w:hint="eastAsia" w:ascii="仿宋_GB2312" w:hAnsi="仿宋_GB2312" w:eastAsia="仿宋_GB2312" w:cs="仿宋_GB2312"/>
          <w:color w:val="auto"/>
          <w:sz w:val="32"/>
          <w:szCs w:val="32"/>
        </w:rPr>
        <w:t xml:space="preserve"> 城市公共汽（电）车站场分为首末站、枢纽站、停车场、保养场等四类，各类站场设施应当符合以下要求：</w:t>
      </w:r>
    </w:p>
    <w:p w14:paraId="11AC8371">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（一）首末站应当设置在城市道路红线以外，每处用地面积不小于1000平方米；</w:t>
      </w:r>
    </w:p>
    <w:p w14:paraId="46B50A9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（二）枢纽站应当设置在客流集散量大、多条公交线路交汇处，用地面积可按每条线路不少于700平方米计算；</w:t>
      </w:r>
    </w:p>
    <w:p w14:paraId="5E720CD5">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（三）保养场、停车场一般应当布置在老城区以外，保养场用地面积根据其保养规模、各项功能设施用地需求综合计算确定。停车场用地面积可按照每辆标准车150平方米计算；</w:t>
      </w:r>
    </w:p>
    <w:p w14:paraId="19D6089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（四）在满足消防、交通和环保要求的前提下，公交首末站可附设在道路两侧大型公共建筑物首层。</w:t>
      </w:r>
    </w:p>
    <w:p w14:paraId="7E231E5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第五十二条</w:t>
      </w:r>
      <w:r>
        <w:rPr>
          <w:rFonts w:hint="eastAsia" w:ascii="仿宋_GB2312" w:hAnsi="仿宋_GB2312" w:eastAsia="仿宋_GB2312" w:cs="仿宋_GB2312"/>
          <w:color w:val="auto"/>
          <w:sz w:val="32"/>
          <w:szCs w:val="32"/>
        </w:rPr>
        <w:t xml:space="preserve"> 40米及以上宽度道路的公交中途站应采用港湾式车站，其停靠区长度不小于30米，宽度不小于3米，因现状条件无法达到的，其宽度不小于2.5米。</w:t>
      </w:r>
    </w:p>
    <w:p w14:paraId="71F1954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第五十三条</w:t>
      </w:r>
      <w:r>
        <w:rPr>
          <w:rFonts w:hint="eastAsia" w:ascii="仿宋_GB2312" w:hAnsi="仿宋_GB2312" w:eastAsia="仿宋_GB2312" w:cs="仿宋_GB2312"/>
          <w:color w:val="auto"/>
          <w:sz w:val="32"/>
          <w:szCs w:val="32"/>
        </w:rPr>
        <w:t xml:space="preserve"> 城市建筑物配建停车位指标应当符合《各类建筑物配建停车场车位指标》（附表7—4）的要求，各类车辆的换算当量系数应当符合《车辆换算当量系数》（附表7—5）的要求。</w:t>
      </w:r>
    </w:p>
    <w:p w14:paraId="1FB54A4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第五十四条</w:t>
      </w:r>
      <w:r>
        <w:rPr>
          <w:rFonts w:hint="eastAsia" w:ascii="仿宋_GB2312" w:hAnsi="仿宋_GB2312" w:eastAsia="仿宋_GB2312" w:cs="仿宋_GB2312"/>
          <w:color w:val="auto"/>
          <w:sz w:val="32"/>
          <w:szCs w:val="32"/>
        </w:rPr>
        <w:t xml:space="preserve"> 城市停车设施的规划和设计应当符合下列要求：</w:t>
      </w:r>
    </w:p>
    <w:p w14:paraId="555CF823">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（一）停车设施应符合《城市停车规划规范》（GB/T51149—2016）的规定；</w:t>
      </w:r>
    </w:p>
    <w:p w14:paraId="4DFE405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停车设施出入口不应直接与城市快速路相连接，且不宜直接与城市主干路相连接；出入口距离人行天桥、地道口、桥梁隧道引道不少于50米，距离城市道路交叉口距离不少于70米（附图7－1）；停车设施地下出入口距离城市道路红线不少于7.5米；</w:t>
      </w:r>
    </w:p>
    <w:p w14:paraId="0366F0F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（三）停车设施出入口宽度，单向行驶时不应小于4米，双向行驶时不应小于7米；</w:t>
      </w:r>
    </w:p>
    <w:p w14:paraId="1CB53A6E">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（四）停车设施应当按《无障碍设计规范》（GB50763—2012）的规定设置残疾人停车泊位；</w:t>
      </w:r>
    </w:p>
    <w:p w14:paraId="1238715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（五）商业建筑规模大于10000平方米的商业、住宅混合建筑，其住宅和商业配建停车设施一般应分开设置，分别设置单独的出入口；</w:t>
      </w:r>
    </w:p>
    <w:p w14:paraId="26CD107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（六）结合用地开发建设的公共停车设施，应与用地配建停车场物理隔离，按标准设置独立的出入口，并24小时对外提供服务；</w:t>
      </w:r>
    </w:p>
    <w:p w14:paraId="7E6AF95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（七）严格控制地下配建的机械式停车泊位数量。地下停车泊位中的机械式泊位数量占地下停车泊位总量的比例不超过50%，设机械式地下停车泊位层高不小于5米；</w:t>
      </w:r>
    </w:p>
    <w:p w14:paraId="02F97FDA">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（八）居住区内地面停车率（居住区内居民汽车的机动车停车位数量与居住户数的比率）不宜超过10％。</w:t>
      </w:r>
    </w:p>
    <w:p w14:paraId="569CAA1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第五十五条</w:t>
      </w:r>
      <w:r>
        <w:rPr>
          <w:rFonts w:hint="eastAsia" w:ascii="仿宋_GB2312" w:hAnsi="仿宋_GB2312" w:eastAsia="仿宋_GB2312" w:cs="仿宋_GB2312"/>
          <w:color w:val="auto"/>
          <w:sz w:val="32"/>
          <w:szCs w:val="32"/>
        </w:rPr>
        <w:t xml:space="preserve"> 城市快速路、主干路人行过街设施平均间距不应大于400米，次干路、支路人行过街设施平均间距不应大于250米；立体人行过街设施应当符合国家相关标准的要求。</w:t>
      </w:r>
    </w:p>
    <w:p w14:paraId="18BC4749">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第五十六条</w:t>
      </w:r>
      <w:r>
        <w:rPr>
          <w:rFonts w:hint="eastAsia" w:ascii="仿宋_GB2312" w:hAnsi="仿宋_GB2312" w:eastAsia="仿宋_GB2312" w:cs="仿宋_GB2312"/>
          <w:color w:val="auto"/>
          <w:sz w:val="32"/>
          <w:szCs w:val="32"/>
        </w:rPr>
        <w:t xml:space="preserve"> 人行天桥结构外边缘与周边建筑的净距不应小于3米，特殊困难情况下最小净距不小于1.5米，但应当采取相应的安全措施；平面人行过街设施应符合国家相关标准的要求。</w:t>
      </w:r>
    </w:p>
    <w:p w14:paraId="27AAD5F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第五十七条</w:t>
      </w:r>
      <w:r>
        <w:rPr>
          <w:rFonts w:hint="eastAsia" w:ascii="仿宋_GB2312" w:hAnsi="仿宋_GB2312" w:eastAsia="仿宋_GB2312" w:cs="仿宋_GB2312"/>
          <w:color w:val="auto"/>
          <w:sz w:val="32"/>
          <w:szCs w:val="32"/>
        </w:rPr>
        <w:t xml:space="preserve"> 铁路、桥梁、港口、公路、机场等城市交通基础设施应当符合国家有关设计规范标准，并满足下列要求：</w:t>
      </w:r>
    </w:p>
    <w:p w14:paraId="040BBE9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城市建（构）筑物与铁路线、铁路通讯架空线的安全距离，应当符合《建筑物与铁路安全间距》（附表7—6）的规定；城市道路与铁路交叉方式应当符合《城市道路与铁路交叉控制方式》（附表7—7）的规定；城市道路下穿铁路时，铁路桥下净空应当符合《城市道路控制净空》（附表7—8）的规定；城市道路与铁路平交时，应当采取安全保护措施；</w:t>
      </w:r>
    </w:p>
    <w:p w14:paraId="04578138">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（二）港区和锚地应当避开桥梁、隧道、水上渡口、过江管线和水厂取水口；</w:t>
      </w:r>
    </w:p>
    <w:p w14:paraId="2302CFDA">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城市出入口道路应与周边用地建设统筹协调，与城市道路系统合理衔接；公路长途客运站应与城市公共交通、其他对外交通方式衔接，并配套建设公交场站和加油加气站。公路货运站应布置在城市主要出入口道路附近，并配套建设加油站。</w:t>
      </w:r>
    </w:p>
    <w:p w14:paraId="4833C9A1">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14:paraId="6F4C40E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第八章  市政公用设施与管线</w:t>
      </w:r>
    </w:p>
    <w:p w14:paraId="0EAC060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14:paraId="6FD886C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第五十八条</w:t>
      </w:r>
      <w:r>
        <w:rPr>
          <w:rFonts w:hint="eastAsia" w:ascii="仿宋_GB2312" w:hAnsi="仿宋_GB2312" w:eastAsia="仿宋_GB2312" w:cs="仿宋_GB2312"/>
          <w:color w:val="auto"/>
          <w:sz w:val="32"/>
          <w:szCs w:val="32"/>
        </w:rPr>
        <w:t xml:space="preserve"> 公用设施选址应当符合下列要求：</w:t>
      </w:r>
    </w:p>
    <w:p w14:paraId="3ECB30C0">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（一）新建污水处理厂、各类垃圾处理厂周围应建设绿化带，并设有一定的防护距离，防护距离内不得有居住区、医院、学校等环境敏感建筑，防护距离的大小由项目环境影响评价文件确定；</w:t>
      </w:r>
    </w:p>
    <w:p w14:paraId="7E69F5B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（二）新建变电站应靠近负荷中心，城市（含新区、开发区</w:t>
      </w:r>
      <w:r>
        <w:rPr>
          <w:rFonts w:hint="eastAsia" w:ascii="仿宋_GB2312" w:hAnsi="仿宋_GB2312" w:eastAsia="仿宋_GB2312" w:cs="仿宋_GB2312"/>
          <w:color w:val="auto"/>
          <w:sz w:val="32"/>
          <w:szCs w:val="32"/>
          <w:lang w:eastAsia="zh-CN"/>
        </w:rPr>
        <w:t>、临空经济区</w:t>
      </w:r>
      <w:r>
        <w:rPr>
          <w:rFonts w:hint="eastAsia" w:ascii="仿宋_GB2312" w:hAnsi="仿宋_GB2312" w:eastAsia="仿宋_GB2312" w:cs="仿宋_GB2312"/>
          <w:color w:val="auto"/>
          <w:sz w:val="32"/>
          <w:szCs w:val="32"/>
        </w:rPr>
        <w:t>）规划区内新建变电站应采用户内式结构形式，其他区域按照国家有关标准执行；</w:t>
      </w:r>
    </w:p>
    <w:p w14:paraId="53C3E7C5">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（三）新建消防站主体建筑距医院、学校、影剧院、商场等容纳人员较多的公共建筑的主要疏散出口不应小于50米；</w:t>
      </w:r>
    </w:p>
    <w:p w14:paraId="6A8D720F">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（四）新建一级加油站、一级加气站、一级加油加气站、CNG加气母站、液化气储配站不得选址在主城区内。</w:t>
      </w:r>
    </w:p>
    <w:p w14:paraId="523775A3">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第五十九条</w:t>
      </w:r>
      <w:r>
        <w:rPr>
          <w:rFonts w:hint="eastAsia" w:ascii="仿宋_GB2312" w:hAnsi="仿宋_GB2312" w:eastAsia="仿宋_GB2312" w:cs="仿宋_GB2312"/>
          <w:color w:val="auto"/>
          <w:sz w:val="32"/>
          <w:szCs w:val="32"/>
        </w:rPr>
        <w:t xml:space="preserve"> 公用设施的规划布局应当符合下列要求：</w:t>
      </w:r>
    </w:p>
    <w:p w14:paraId="02643838">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（一）新建独立式的公共厕所外墙与相邻建筑物距离一般不小于5米，周围应设置不小于3米的绿化带；</w:t>
      </w:r>
    </w:p>
    <w:p w14:paraId="0B02DAAA">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（二）新建天然气门站与民用建筑之间的防火间距，应当符合国家有关城镇燃气设计规范的规定；</w:t>
      </w:r>
    </w:p>
    <w:p w14:paraId="5DD6581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（三）消防站车库门应朝向城市道路，至道路红线的距离不小于15米；</w:t>
      </w:r>
    </w:p>
    <w:p w14:paraId="5140796B">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（四）新建的加油站、加气站、车辆清洗站宜采取合建方式集中设置。加油站、加气站、加油加气合建站分级及其设施建(构)筑物防护距离应当符合附表8—1～附表8—8的规定；</w:t>
      </w:r>
    </w:p>
    <w:p w14:paraId="48E3D3B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新建生活垃圾转运站应当符合附表8—9的规定。不能满足上述间距和绿化隔离带宽度要求或周边既有建筑物为住宅、医院、学校等环境敏感建筑时，其间距和绿化隔离带宽度应符合项目环境影响评价文件批复的相关要求；</w:t>
      </w:r>
    </w:p>
    <w:p w14:paraId="521CD7A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（六）其它公用设施的规划布局应符合相关专项规划和技术规范要求。</w:t>
      </w:r>
    </w:p>
    <w:p w14:paraId="1AFF317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第六十条</w:t>
      </w:r>
      <w:r>
        <w:rPr>
          <w:rFonts w:hint="eastAsia" w:ascii="仿宋_GB2312" w:hAnsi="仿宋_GB2312" w:eastAsia="仿宋_GB2312" w:cs="仿宋_GB2312"/>
          <w:color w:val="auto"/>
          <w:sz w:val="32"/>
          <w:szCs w:val="32"/>
        </w:rPr>
        <w:t xml:space="preserve"> 公用设施管线的规划设计应当符合下列要求：</w:t>
      </w:r>
    </w:p>
    <w:p w14:paraId="032BB2EC">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（一）城市（含新区、开发区</w:t>
      </w:r>
      <w:r>
        <w:rPr>
          <w:rFonts w:hint="eastAsia" w:ascii="仿宋_GB2312" w:hAnsi="仿宋_GB2312" w:eastAsia="仿宋_GB2312" w:cs="仿宋_GB2312"/>
          <w:color w:val="auto"/>
          <w:sz w:val="32"/>
          <w:szCs w:val="32"/>
          <w:lang w:eastAsia="zh-CN"/>
        </w:rPr>
        <w:t>、临空经济区</w:t>
      </w:r>
      <w:r>
        <w:rPr>
          <w:rFonts w:hint="eastAsia" w:ascii="仿宋_GB2312" w:hAnsi="仿宋_GB2312" w:eastAsia="仿宋_GB2312" w:cs="仿宋_GB2312"/>
          <w:color w:val="auto"/>
          <w:sz w:val="32"/>
          <w:szCs w:val="32"/>
        </w:rPr>
        <w:t>）规划区内电力、电信、给水、排水、燃气等各种管线原则上应下地埋设，已有的城市架空线结合城市改建逐步改为下地敷设，其他区域按照国家有关标准执行；</w:t>
      </w:r>
    </w:p>
    <w:p w14:paraId="4BEB7B86">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（二）沿城市道路敷设的各类新建、改建、扩建管线，应当根据需求统筹合并敷设；</w:t>
      </w:r>
    </w:p>
    <w:p w14:paraId="6F9E253D">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（三）沿城市道路敷设的电力、通信、燃气等箱柜设置在人行道内时，不得妨碍通行，应结合街头绿化用地、沿街建筑布局进行综合考虑，隐蔽设置，保持道路空间通透、整洁；</w:t>
      </w:r>
    </w:p>
    <w:p w14:paraId="175FBBA2">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给水、电力、热力管线原则上在道路东侧或者南侧敷设，通信、燃气管线原则上在道路西侧或者北侧敷设，电力电缆与电信电缆应当远离，在宽度为50米及以上的城市道路上同一种市政管线宜在道路两侧布置；</w:t>
      </w:r>
    </w:p>
    <w:p w14:paraId="1CE8D6B4">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（五）110、220及500千伏电力架空线走廊控制宽度分别为30米、40米和75米；</w:t>
      </w:r>
    </w:p>
    <w:p w14:paraId="532B3D67">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（六）高压燃气管廊（P&gt;4.0MPa）控制宽度不小于100米，并应符合区域燃气长输管道专项规划及相关设计规范的控制要求；高压A管廊（2.5MPa &lt;P≤4.0MPa）控制宽度不小于60米（管道采取有效保护措施时，控制宽度不小于30米），高压B管廊（1.6MPa &lt;P≤2.5MPa）控制宽度不小于32米（管道采取有效保护措施时，控制宽度不小于20米），管廊与周边建（构）筑物水平净距应符合城镇燃气设计规范；</w:t>
      </w:r>
    </w:p>
    <w:p w14:paraId="05DAB46A">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（七）埋地输油管道同地面建（构）筑物的最小间距应当符合下列规定：</w:t>
      </w:r>
    </w:p>
    <w:p w14:paraId="172FE580">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原油、C5及C5以上成品油管道与城镇居民点或者独立的人群密集的房屋的距离不宜小于15米，与飞机场、码头、大中型水库和水工建（构）筑物、工厂的距离不宜小于20米，与铁路平行敷设时管道应当敷设在距离铁路用地范围边线3米以外；</w:t>
      </w:r>
    </w:p>
    <w:p w14:paraId="73ECBB0A">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2.液态液化石油气管道与铁路平行敷设时，管道中心线与国家铁路干线、支线（单线）中心线之间的距离应当分别不小于25米、10米，与城镇居民点公共建筑的距离应当不小于75米；</w:t>
      </w:r>
    </w:p>
    <w:p w14:paraId="7000D302">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3.与高速公路、一二级公路平行敷设时其管道中心距公路用地范围边界应当不小于10米；</w:t>
      </w:r>
    </w:p>
    <w:p w14:paraId="521849D0">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4.原油、C5及C5以上成品油管道同军事设施、易燃易爆仓库、国家重点文物保护单位的最小距离应当同有关部门协商解决；</w:t>
      </w:r>
    </w:p>
    <w:p w14:paraId="40B66981">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敷设在地面的输油管道同建（构）筑物的最小距离应当按照以上规定的距离增加1倍。与专业管线的敷设距离应当按照相关国家标准执行；</w:t>
      </w:r>
    </w:p>
    <w:p w14:paraId="63328F4B">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（八）架空管线及城市地下管线的敷设原则，敷设管线之间及其与建筑之间的水平、垂直净距应符合《城市工程管线综合规划规范》（GB 50289—2016）的要求。</w:t>
      </w:r>
    </w:p>
    <w:p w14:paraId="7C876855">
      <w:pPr>
        <w:pStyle w:val="4"/>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第六十一条</w:t>
      </w:r>
      <w:r>
        <w:rPr>
          <w:rFonts w:hint="eastAsia" w:ascii="仿宋_GB2312" w:hAnsi="仿宋_GB2312" w:eastAsia="仿宋_GB2312" w:cs="仿宋_GB2312"/>
          <w:color w:val="auto"/>
          <w:sz w:val="32"/>
          <w:szCs w:val="32"/>
        </w:rPr>
        <w:t xml:space="preserve"> 机场导航、广播通讯发射、无线电、微波、气象等需设置专用走廊的，集中式饮用水水源地、堤防、泄洪区、防灾避难场所、污水处理厂、医疗等危险废物处置场所、垃圾处置场等需划分保护范围和设置卫生防护距离、大气环境防护距离。</w:t>
      </w:r>
    </w:p>
    <w:p w14:paraId="57A46C42">
      <w:pPr>
        <w:pStyle w:val="4"/>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14:paraId="35326D35">
      <w:pPr>
        <w:pStyle w:val="4"/>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第九章  附 则</w:t>
      </w:r>
    </w:p>
    <w:p w14:paraId="10852D0D">
      <w:pPr>
        <w:pStyle w:val="4"/>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14:paraId="7C8292CA">
      <w:pPr>
        <w:pStyle w:val="4"/>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第六十二条</w:t>
      </w:r>
      <w:r>
        <w:rPr>
          <w:rFonts w:hint="eastAsia" w:ascii="仿宋_GB2312" w:hAnsi="仿宋_GB2312" w:eastAsia="仿宋_GB2312" w:cs="仿宋_GB2312"/>
          <w:b/>
          <w:color w:val="auto"/>
          <w:sz w:val="32"/>
          <w:szCs w:val="32"/>
          <w:lang w:val="en-US" w:eastAsia="zh-CN"/>
        </w:rPr>
        <w:t xml:space="preserve"> </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规定有效期</w:t>
      </w:r>
      <w:r>
        <w:rPr>
          <w:rFonts w:hint="eastAsia" w:ascii="仿宋_GB2312" w:hAnsi="仿宋_GB2312" w:eastAsia="仿宋_GB2312" w:cs="仿宋_GB2312"/>
          <w:sz w:val="32"/>
          <w:szCs w:val="32"/>
          <w:lang w:val="en-US" w:eastAsia="zh-CN"/>
        </w:rPr>
        <w:t>5年，</w:t>
      </w:r>
      <w:r>
        <w:rPr>
          <w:rFonts w:hint="eastAsia" w:ascii="仿宋_GB2312" w:hAnsi="仿宋_GB2312" w:eastAsia="仿宋_GB2312" w:cs="仿宋_GB2312"/>
          <w:sz w:val="32"/>
          <w:szCs w:val="32"/>
        </w:rPr>
        <w:t>自 2020年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日起施行，有效期</w:t>
      </w:r>
      <w:r>
        <w:rPr>
          <w:rFonts w:hint="eastAsia" w:ascii="仿宋_GB2312" w:hAnsi="仿宋_GB2312" w:eastAsia="仿宋_GB2312" w:cs="仿宋_GB2312"/>
          <w:sz w:val="32"/>
          <w:szCs w:val="32"/>
          <w:lang w:eastAsia="zh-CN"/>
        </w:rPr>
        <w:t>至</w:t>
      </w:r>
      <w:r>
        <w:rPr>
          <w:rFonts w:hint="eastAsia" w:ascii="仿宋_GB2312" w:hAnsi="仿宋_GB2312" w:eastAsia="仿宋_GB2312" w:cs="仿宋_GB2312"/>
          <w:sz w:val="32"/>
          <w:szCs w:val="32"/>
        </w:rPr>
        <w:t>2025年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w:t>
      </w:r>
      <w:r>
        <w:rPr>
          <w:rFonts w:hint="eastAsia" w:ascii="仿宋_GB2312" w:hAnsi="仿宋_GB2312" w:eastAsia="仿宋_GB2312" w:cs="仿宋_GB2312"/>
          <w:color w:val="auto"/>
          <w:sz w:val="32"/>
          <w:szCs w:val="32"/>
        </w:rPr>
        <w:t>《鄂州市规划管理技术规定》（鄂州政</w:t>
      </w:r>
      <w:r>
        <w:rPr>
          <w:rFonts w:hint="eastAsia" w:ascii="仿宋_GB2312" w:hAnsi="仿宋_GB2312" w:eastAsia="仿宋_GB2312" w:cs="仿宋_GB2312"/>
          <w:color w:val="auto"/>
          <w:sz w:val="32"/>
          <w:szCs w:val="32"/>
          <w:lang w:eastAsia="zh-CN"/>
        </w:rPr>
        <w:t>规</w:t>
      </w: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18</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号）同时废止。</w:t>
      </w:r>
    </w:p>
    <w:p w14:paraId="59C47B3D">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sz w:val="32"/>
          <w:szCs w:val="32"/>
          <w:lang w:val="en-US" w:eastAsia="zh-CN"/>
        </w:rPr>
        <w:t>本规定颁布施行前已取得土地证的建设项目，继续沿用原规定办理相关规划许可手续；本规定颁布施行后取得土地证的建设项目，按照本规定办理相关规划许可手续（其中：1.各类建筑物配建停车位指标自本规定颁布之日起施行；2.本规定颁布施行前，尚未取得土地证，但已经取得成交确认书或经法律认可土地使用权的项目，如果按照本规定通过规划方案调整，能够满足相关要求的，按本规定施行。如果按照本规定通过规划方案调整，难以满足相关要求的，建筑物退线及间距按规划设计要点施行）</w:t>
      </w:r>
      <w:r>
        <w:rPr>
          <w:rFonts w:hint="eastAsia" w:ascii="仿宋_GB2312" w:hAnsi="仿宋_GB2312" w:eastAsia="仿宋_GB2312" w:cs="仿宋_GB2312"/>
          <w:color w:val="auto"/>
          <w:sz w:val="32"/>
          <w:szCs w:val="32"/>
        </w:rPr>
        <w:t>。</w:t>
      </w:r>
    </w:p>
    <w:p w14:paraId="11941F51">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黑体" w:hAnsi="Times New Roman" w:eastAsia="黑体" w:cs="Times New Roman"/>
          <w:sz w:val="32"/>
          <w:szCs w:val="32"/>
        </w:rPr>
      </w:pPr>
      <w:r>
        <w:rPr>
          <w:rFonts w:hint="eastAsia" w:ascii="仿宋_GB2312" w:hAnsi="仿宋_GB2312" w:eastAsia="仿宋_GB2312" w:cs="仿宋_GB2312"/>
          <w:sz w:val="32"/>
          <w:szCs w:val="32"/>
        </w:rPr>
        <w:br w:type="page"/>
      </w:r>
      <w:r>
        <w:rPr>
          <w:rFonts w:hint="eastAsia" w:ascii="黑体" w:hAnsi="Times New Roman" w:eastAsia="黑体" w:cs="Times New Roman"/>
          <w:sz w:val="32"/>
          <w:szCs w:val="32"/>
        </w:rPr>
        <w:t>附录1</w:t>
      </w:r>
    </w:p>
    <w:p w14:paraId="4E5AE598">
      <w:pPr>
        <w:pStyle w:val="4"/>
        <w:spacing w:line="610" w:lineRule="exact"/>
        <w:rPr>
          <w:rFonts w:ascii="Times New Roman" w:hAnsi="Times New Roman" w:eastAsia="仿宋" w:cs="Times New Roman"/>
          <w:sz w:val="32"/>
          <w:szCs w:val="32"/>
        </w:rPr>
      </w:pPr>
    </w:p>
    <w:p w14:paraId="69FDE133">
      <w:pPr>
        <w:pStyle w:val="4"/>
        <w:spacing w:line="7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名  词  解  释</w:t>
      </w:r>
    </w:p>
    <w:p w14:paraId="53EE0EC2">
      <w:pPr>
        <w:pStyle w:val="4"/>
        <w:spacing w:line="610" w:lineRule="exact"/>
        <w:rPr>
          <w:rFonts w:hint="eastAsia" w:ascii="仿宋_GB2312" w:hAnsi="Times New Roman" w:eastAsia="仿宋_GB2312" w:cs="Times New Roman"/>
          <w:sz w:val="32"/>
          <w:szCs w:val="32"/>
        </w:rPr>
      </w:pPr>
    </w:p>
    <w:p w14:paraId="553CA4F7">
      <w:pPr>
        <w:pStyle w:val="4"/>
        <w:spacing w:line="61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1.用地兼容：</w:t>
      </w:r>
      <w:r>
        <w:rPr>
          <w:rFonts w:hint="eastAsia" w:ascii="仿宋_GB2312" w:hAnsi="Times New Roman" w:eastAsia="仿宋_GB2312" w:cs="Times New Roman"/>
          <w:sz w:val="32"/>
          <w:szCs w:val="32"/>
        </w:rPr>
        <w:t>是指在不影响城市规划实施的前提下，在规划编制和实施阶段，对不同类别性质用地进行合理选择、调配的规定。</w:t>
      </w:r>
    </w:p>
    <w:p w14:paraId="11D6AB63">
      <w:pPr>
        <w:pStyle w:val="4"/>
        <w:spacing w:line="61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2.五线：</w:t>
      </w:r>
      <w:r>
        <w:rPr>
          <w:rFonts w:hint="eastAsia" w:ascii="仿宋_GB2312" w:hAnsi="Times New Roman" w:eastAsia="仿宋_GB2312" w:cs="Times New Roman"/>
          <w:sz w:val="32"/>
          <w:szCs w:val="32"/>
        </w:rPr>
        <w:t>是指相关法律、法规和国家规范确定的鄂州市城市道路规划控制线（红线）；城市各类绿地范围控制线（绿线）；历史文化名城内的历史文化街区和省、自治区、直辖市及县级以上人民政府公布保护的历史建筑的保护范围界线（紫线）；城市规划确定的江、河、湖、库、渠和湿地等城市地表水体保护和控制的地域界线（蓝线）；对城市发展全局有影响的、城市规划中确定的、必须控制的城市市政设施用地的控制界线（黄线）。</w:t>
      </w:r>
    </w:p>
    <w:p w14:paraId="431E9086">
      <w:pPr>
        <w:pStyle w:val="4"/>
        <w:spacing w:line="61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3.规划用地红线：</w:t>
      </w:r>
      <w:r>
        <w:rPr>
          <w:rFonts w:hint="eastAsia" w:ascii="仿宋_GB2312" w:hAnsi="Times New Roman" w:eastAsia="仿宋_GB2312" w:cs="Times New Roman"/>
          <w:sz w:val="32"/>
          <w:szCs w:val="32"/>
        </w:rPr>
        <w:t>是指相邻不同权属地块之间的权属分界线。</w:t>
      </w:r>
    </w:p>
    <w:p w14:paraId="50F778A5">
      <w:pPr>
        <w:pStyle w:val="4"/>
        <w:spacing w:line="61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4.容积率：</w:t>
      </w:r>
      <w:r>
        <w:rPr>
          <w:rFonts w:hint="eastAsia" w:ascii="仿宋_GB2312" w:hAnsi="Times New Roman" w:eastAsia="仿宋_GB2312" w:cs="Times New Roman"/>
          <w:sz w:val="32"/>
          <w:szCs w:val="32"/>
        </w:rPr>
        <w:t>是指项目用地范围内地上总建筑面积与项目净用地面积的比值。地下容积率指标按地下空间开发利用有关规定另行计算。</w:t>
      </w:r>
    </w:p>
    <w:p w14:paraId="1E991C42">
      <w:pPr>
        <w:pStyle w:val="4"/>
        <w:spacing w:line="61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5.建筑密度：</w:t>
      </w:r>
      <w:r>
        <w:rPr>
          <w:rFonts w:hint="eastAsia" w:ascii="仿宋_GB2312" w:hAnsi="Times New Roman" w:eastAsia="仿宋_GB2312" w:cs="Times New Roman"/>
          <w:sz w:val="32"/>
          <w:szCs w:val="32"/>
        </w:rPr>
        <w:t>是指各类建筑外轮廓的垂直投影线面积与净用地面积的比值。</w:t>
      </w:r>
    </w:p>
    <w:p w14:paraId="7C2BA4B8">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6.建筑高度：</w:t>
      </w:r>
      <w:r>
        <w:rPr>
          <w:rFonts w:hint="eastAsia" w:ascii="仿宋_GB2312" w:hAnsi="Times New Roman" w:eastAsia="仿宋_GB2312" w:cs="Times New Roman"/>
          <w:sz w:val="32"/>
          <w:szCs w:val="32"/>
        </w:rPr>
        <w:t>本规定对建筑高度的定义适用于建筑间距和日照的计算取值。</w:t>
      </w:r>
    </w:p>
    <w:p w14:paraId="1B98270B">
      <w:pPr>
        <w:pStyle w:val="4"/>
        <w:spacing w:line="59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平屋顶建筑高度是指建筑物室外地面到其女儿墙顶的高度；</w:t>
      </w:r>
    </w:p>
    <w:p w14:paraId="4EDB7C4F">
      <w:pPr>
        <w:pStyle w:val="4"/>
        <w:spacing w:line="59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坡屋顶建筑高度是建筑物室外地面至其檐口的高度加上屋脊的平均高度；</w:t>
      </w:r>
    </w:p>
    <w:p w14:paraId="3F2459C7">
      <w:pPr>
        <w:pStyle w:val="4"/>
        <w:spacing w:line="59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当同一座建筑物有多种屋面形式时，建筑高度应按上述方法分别计算后取其中最大值。</w:t>
      </w:r>
    </w:p>
    <w:p w14:paraId="789254AF">
      <w:pPr>
        <w:pStyle w:val="4"/>
        <w:spacing w:line="59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局部突出屋顶的嘹望塔、冷却塔、水箱间、微波天线间或设施、电梯机房、排风和排烟机房以及楼梯出口小间等，可不计入建筑高度内。</w:t>
      </w:r>
    </w:p>
    <w:p w14:paraId="501881F2">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7.塔式建筑：</w:t>
      </w:r>
      <w:r>
        <w:rPr>
          <w:rFonts w:hint="eastAsia" w:ascii="仿宋_GB2312" w:hAnsi="Times New Roman" w:eastAsia="仿宋_GB2312" w:cs="Times New Roman"/>
          <w:sz w:val="32"/>
          <w:szCs w:val="32"/>
        </w:rPr>
        <w:t>指建筑长边与短边之比小于2，以楼梯与电梯组成的交通中心为核心的建筑。</w:t>
      </w:r>
    </w:p>
    <w:p w14:paraId="38DC60F1">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8.条式建筑：</w:t>
      </w:r>
      <w:r>
        <w:rPr>
          <w:rFonts w:hint="eastAsia" w:ascii="仿宋_GB2312" w:hAnsi="Times New Roman" w:eastAsia="仿宋_GB2312" w:cs="Times New Roman"/>
          <w:sz w:val="32"/>
          <w:szCs w:val="32"/>
        </w:rPr>
        <w:t>指建筑长边与短边之比大于或等于2，并且短边长度小于或等于16米的建筑。</w:t>
      </w:r>
    </w:p>
    <w:p w14:paraId="18104301">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9.山墙：</w:t>
      </w:r>
      <w:r>
        <w:rPr>
          <w:rFonts w:hint="eastAsia" w:ascii="仿宋_GB2312" w:hAnsi="Times New Roman" w:eastAsia="仿宋_GB2312" w:cs="Times New Roman"/>
          <w:sz w:val="32"/>
          <w:szCs w:val="32"/>
        </w:rPr>
        <w:t>指条式布置的建筑外墙中短边所在的外墙面。</w:t>
      </w:r>
    </w:p>
    <w:p w14:paraId="5DFE1963">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10.纵墙：</w:t>
      </w:r>
      <w:r>
        <w:rPr>
          <w:rFonts w:hint="eastAsia" w:ascii="仿宋_GB2312" w:hAnsi="Times New Roman" w:eastAsia="仿宋_GB2312" w:cs="Times New Roman"/>
          <w:sz w:val="32"/>
          <w:szCs w:val="32"/>
        </w:rPr>
        <w:t>指条式布置的建筑外墙中长边所在的外墙面。</w:t>
      </w:r>
    </w:p>
    <w:p w14:paraId="02C7FF67">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11.建筑间距：</w:t>
      </w:r>
      <w:r>
        <w:rPr>
          <w:rFonts w:hint="eastAsia" w:ascii="仿宋_GB2312" w:hAnsi="Times New Roman" w:eastAsia="仿宋_GB2312" w:cs="Times New Roman"/>
          <w:sz w:val="32"/>
          <w:szCs w:val="32"/>
        </w:rPr>
        <w:t>指两栋建（构）筑物外墙外边缘线之间的水平距离。</w:t>
      </w:r>
    </w:p>
    <w:p w14:paraId="20AB2AF9">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12.面宽：</w:t>
      </w:r>
      <w:r>
        <w:rPr>
          <w:rFonts w:hint="eastAsia" w:ascii="仿宋_GB2312" w:hAnsi="Times New Roman" w:eastAsia="仿宋_GB2312" w:cs="Times New Roman"/>
          <w:sz w:val="32"/>
          <w:szCs w:val="32"/>
        </w:rPr>
        <w:t>指建筑物外立面投影宽度。</w:t>
      </w:r>
    </w:p>
    <w:p w14:paraId="73C64034">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13.真太阳时</w:t>
      </w:r>
      <w:r>
        <w:rPr>
          <w:rFonts w:hint="eastAsia" w:ascii="仿宋_GB2312" w:hAnsi="Times New Roman" w:eastAsia="仿宋_GB2312" w:cs="Times New Roman"/>
          <w:sz w:val="32"/>
          <w:szCs w:val="32"/>
        </w:rPr>
        <w:t>：指太阳连续两次经过当地观测点的上中天（正午12时，即当地当日太阳高度角最高之时）的时间间隔为1真太阳日，1真太阳日分为24真太阳时，也称当地正午时间。</w:t>
      </w:r>
    </w:p>
    <w:p w14:paraId="21FEAAA1">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14.公交专用道：</w:t>
      </w:r>
      <w:r>
        <w:rPr>
          <w:rFonts w:hint="eastAsia" w:ascii="仿宋_GB2312" w:hAnsi="Times New Roman" w:eastAsia="仿宋_GB2312" w:cs="Times New Roman"/>
          <w:sz w:val="32"/>
          <w:szCs w:val="32"/>
        </w:rPr>
        <w:t>是指提供给公交车行驶的专用车道。</w:t>
      </w:r>
    </w:p>
    <w:p w14:paraId="6DF6EC4C">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15.港湾式公交车站：</w:t>
      </w:r>
      <w:r>
        <w:rPr>
          <w:rFonts w:hint="eastAsia" w:ascii="仿宋_GB2312" w:hAnsi="Times New Roman" w:eastAsia="仿宋_GB2312" w:cs="Times New Roman"/>
          <w:sz w:val="32"/>
          <w:szCs w:val="32"/>
        </w:rPr>
        <w:t>是指在道路车行道外侧，采用局部拓宽路面方式设置的公共交通停靠站。</w:t>
      </w:r>
    </w:p>
    <w:p w14:paraId="2AB0A110">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16.公共通道：</w:t>
      </w:r>
      <w:r>
        <w:rPr>
          <w:rFonts w:hint="eastAsia" w:ascii="仿宋_GB2312" w:hAnsi="Times New Roman" w:eastAsia="仿宋_GB2312" w:cs="Times New Roman"/>
          <w:sz w:val="32"/>
          <w:szCs w:val="32"/>
        </w:rPr>
        <w:t>穿越单宗地块或在多宗地块之间、不影响沿线用地权属、通行社会性交通、弥补城市支路网密度不足的区域共享的通道。公共通道的交通功能及建设标准参照城市支路执行。</w:t>
      </w:r>
    </w:p>
    <w:p w14:paraId="2344CB98">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17.地下室：</w:t>
      </w:r>
      <w:r>
        <w:rPr>
          <w:rFonts w:hint="eastAsia" w:ascii="仿宋_GB2312" w:hAnsi="Times New Roman" w:eastAsia="仿宋_GB2312" w:cs="Times New Roman"/>
          <w:sz w:val="32"/>
          <w:szCs w:val="32"/>
        </w:rPr>
        <w:t>室内地平面低于室外地平面的高度超过室内净高的1／2的房间。</w:t>
      </w:r>
    </w:p>
    <w:p w14:paraId="7F74AE33">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半地下室：</w:t>
      </w:r>
      <w:r>
        <w:rPr>
          <w:rFonts w:hint="eastAsia" w:ascii="仿宋_GB2312" w:hAnsi="Times New Roman" w:eastAsia="仿宋_GB2312" w:cs="Times New Roman"/>
          <w:sz w:val="32"/>
          <w:szCs w:val="32"/>
        </w:rPr>
        <w:t>室内地平面低于室外地平面的高度超过室内净高的1／3，且不超过1／2的房间。</w:t>
      </w:r>
    </w:p>
    <w:p w14:paraId="0AD8D3B6">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18.单元式办公空间：</w:t>
      </w:r>
      <w:r>
        <w:rPr>
          <w:rFonts w:hint="eastAsia" w:ascii="仿宋_GB2312" w:hAnsi="Times New Roman" w:eastAsia="仿宋_GB2312" w:cs="Times New Roman"/>
          <w:sz w:val="32"/>
          <w:szCs w:val="32"/>
        </w:rPr>
        <w:t>指由接待空间、办公空间、专用卫生间以及服务空间等组成的相对独立的办公空间形式。</w:t>
      </w:r>
    </w:p>
    <w:p w14:paraId="64822315">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19.居住空间：</w:t>
      </w:r>
      <w:r>
        <w:rPr>
          <w:rFonts w:hint="eastAsia" w:ascii="仿宋_GB2312" w:hAnsi="Times New Roman" w:eastAsia="仿宋_GB2312" w:cs="Times New Roman"/>
          <w:sz w:val="32"/>
          <w:szCs w:val="32"/>
        </w:rPr>
        <w:t>卧室、起居室(厅)的统称。卧室指供居住者睡眠、休息的空间。起居室(厅)指供居住者会客、娱乐、团聚等活动的空间。</w:t>
      </w:r>
    </w:p>
    <w:p w14:paraId="2E7CC93B">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20.市政公用设施：</w:t>
      </w:r>
      <w:r>
        <w:rPr>
          <w:rFonts w:hint="eastAsia" w:ascii="仿宋_GB2312" w:hAnsi="Times New Roman" w:eastAsia="仿宋_GB2312" w:cs="Times New Roman"/>
          <w:sz w:val="32"/>
          <w:szCs w:val="32"/>
        </w:rPr>
        <w:t>指城市道路、桥涵、公共交通、供水、排水、防洪、照明、供热、燃气、环卫等公共设施。</w:t>
      </w:r>
    </w:p>
    <w:p w14:paraId="2F14E25C">
      <w:pPr>
        <w:pStyle w:val="4"/>
        <w:spacing w:line="590" w:lineRule="exact"/>
        <w:rPr>
          <w:rFonts w:hint="eastAsia" w:ascii="黑体" w:hAnsi="Times New Roman" w:eastAsia="黑体" w:cs="Times New Roman"/>
          <w:sz w:val="32"/>
          <w:szCs w:val="32"/>
        </w:rPr>
      </w:pPr>
      <w:r>
        <w:rPr>
          <w:rFonts w:hint="eastAsia" w:ascii="仿宋_GB2312" w:hAnsi="Times New Roman" w:eastAsia="仿宋_GB2312" w:cs="Times New Roman"/>
          <w:sz w:val="32"/>
          <w:szCs w:val="32"/>
        </w:rPr>
        <w:br w:type="page"/>
      </w:r>
      <w:r>
        <w:rPr>
          <w:rFonts w:hint="eastAsia" w:ascii="黑体" w:hAnsi="Times New Roman" w:eastAsia="黑体" w:cs="Times New Roman"/>
          <w:sz w:val="32"/>
          <w:szCs w:val="32"/>
        </w:rPr>
        <w:t>附录2</w:t>
      </w:r>
    </w:p>
    <w:p w14:paraId="142BCE3A">
      <w:pPr>
        <w:pStyle w:val="4"/>
        <w:spacing w:line="600" w:lineRule="exact"/>
        <w:rPr>
          <w:rFonts w:ascii="Times New Roman" w:hAnsi="Times New Roman" w:eastAsia="黑体" w:cs="Times New Roman"/>
          <w:sz w:val="32"/>
          <w:szCs w:val="32"/>
        </w:rPr>
      </w:pPr>
    </w:p>
    <w:p w14:paraId="2FDBC7C7">
      <w:pPr>
        <w:pStyle w:val="4"/>
        <w:spacing w:line="7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建设用地兼容性管理规定</w:t>
      </w:r>
    </w:p>
    <w:p w14:paraId="7DA69FA7">
      <w:pPr>
        <w:pStyle w:val="4"/>
        <w:spacing w:line="600" w:lineRule="exact"/>
        <w:jc w:val="center"/>
        <w:rPr>
          <w:rFonts w:hint="eastAsia" w:ascii="仿宋_GB2312" w:hAnsi="Times New Roman" w:eastAsia="仿宋_GB2312" w:cs="Times New Roman"/>
          <w:sz w:val="32"/>
          <w:szCs w:val="32"/>
        </w:rPr>
      </w:pPr>
    </w:p>
    <w:p w14:paraId="617200E4">
      <w:pPr>
        <w:pStyle w:val="4"/>
        <w:spacing w:line="60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本规定兼容性控制要求适用于鄂州市城市建设用地兼容性管理；经批准的相关规划对用地兼容性有明确要求的，按其规划要求执行。其他建设用地的规划兼容性可参照执行。</w:t>
      </w:r>
    </w:p>
    <w:p w14:paraId="6F5929B0">
      <w:pPr>
        <w:pStyle w:val="4"/>
        <w:spacing w:line="60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规划用地兼容应维护法定规划的强制性内容，严格执行国家和地方相关法规和技术标准，坚持节约集约使用土地和公共利益优先，有利于规划管理的规范化和标准化。各类规划用地兼容性要求具体见下表：</w:t>
      </w:r>
    </w:p>
    <w:p w14:paraId="3E9CD142">
      <w:pPr>
        <w:snapToGrid w:val="0"/>
        <w:spacing w:before="120" w:beforeLines="50" w:after="120" w:afterLines="50" w:line="500" w:lineRule="exact"/>
        <w:jc w:val="center"/>
        <w:rPr>
          <w:rFonts w:hint="eastAsia" w:ascii="仿宋_GB2312" w:eastAsia="仿宋_GB2312"/>
          <w:b/>
          <w:sz w:val="32"/>
          <w:szCs w:val="32"/>
        </w:rPr>
      </w:pPr>
      <w:r>
        <w:rPr>
          <w:rFonts w:hint="eastAsia" w:ascii="仿宋_GB2312" w:eastAsia="仿宋_GB2312"/>
          <w:b/>
          <w:sz w:val="32"/>
          <w:szCs w:val="32"/>
          <w:lang w:bidi="ar"/>
        </w:rPr>
        <w:t>表：居住用地兼容性规定表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122"/>
        <w:gridCol w:w="7142"/>
      </w:tblGrid>
      <w:tr w14:paraId="4A3A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661" w:type="dxa"/>
            <w:gridSpan w:val="2"/>
            <w:tcBorders>
              <w:top w:val="single" w:color="auto" w:sz="4" w:space="0"/>
              <w:left w:val="single" w:color="auto" w:sz="4" w:space="0"/>
              <w:bottom w:val="single" w:color="auto" w:sz="4" w:space="0"/>
              <w:right w:val="single" w:color="auto" w:sz="4" w:space="0"/>
            </w:tcBorders>
            <w:noWrap w:val="0"/>
            <w:vAlign w:val="center"/>
          </w:tcPr>
          <w:p w14:paraId="4318259B">
            <w:pPr>
              <w:widowControl/>
              <w:jc w:val="center"/>
              <w:rPr>
                <w:rFonts w:eastAsia="黑体"/>
              </w:rPr>
            </w:pPr>
          </w:p>
        </w:tc>
        <w:tc>
          <w:tcPr>
            <w:tcW w:w="7142" w:type="dxa"/>
            <w:tcBorders>
              <w:top w:val="single" w:color="auto" w:sz="4" w:space="0"/>
              <w:left w:val="single" w:color="auto" w:sz="4" w:space="0"/>
              <w:bottom w:val="single" w:color="auto" w:sz="4" w:space="0"/>
              <w:right w:val="single" w:color="auto" w:sz="4" w:space="0"/>
            </w:tcBorders>
            <w:noWrap w:val="0"/>
            <w:vAlign w:val="center"/>
          </w:tcPr>
          <w:p w14:paraId="71DABA81">
            <w:pPr>
              <w:widowControl/>
              <w:jc w:val="center"/>
              <w:rPr>
                <w:rFonts w:eastAsia="黑体"/>
              </w:rPr>
            </w:pPr>
            <w:r>
              <w:rPr>
                <w:rFonts w:eastAsia="黑体"/>
                <w:lang w:bidi="ar"/>
              </w:rPr>
              <w:t>居住用地(R)</w:t>
            </w:r>
          </w:p>
        </w:tc>
      </w:tr>
      <w:tr w14:paraId="6971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9" w:type="dxa"/>
            <w:vMerge w:val="restart"/>
            <w:tcBorders>
              <w:top w:val="single" w:color="auto" w:sz="4" w:space="0"/>
              <w:left w:val="single" w:color="auto" w:sz="4" w:space="0"/>
              <w:bottom w:val="single" w:color="auto" w:sz="4" w:space="0"/>
              <w:right w:val="single" w:color="auto" w:sz="4" w:space="0"/>
            </w:tcBorders>
            <w:noWrap w:val="0"/>
            <w:vAlign w:val="center"/>
          </w:tcPr>
          <w:p w14:paraId="1B729E30">
            <w:pPr>
              <w:widowControl/>
              <w:jc w:val="center"/>
              <w:rPr>
                <w:rFonts w:ascii="宋体" w:hAnsi="宋体"/>
              </w:rPr>
            </w:pPr>
            <w:r>
              <w:rPr>
                <w:rFonts w:ascii="宋体" w:hAnsi="宋体"/>
                <w:lang w:bidi="ar"/>
              </w:rPr>
              <w:t>部</w:t>
            </w:r>
          </w:p>
          <w:p w14:paraId="0A4ABCB0">
            <w:pPr>
              <w:widowControl/>
              <w:jc w:val="center"/>
              <w:rPr>
                <w:rFonts w:ascii="宋体" w:hAnsi="宋体"/>
              </w:rPr>
            </w:pPr>
            <w:r>
              <w:rPr>
                <w:rFonts w:ascii="宋体" w:hAnsi="宋体"/>
                <w:lang w:bidi="ar"/>
              </w:rPr>
              <w:t>分</w:t>
            </w:r>
          </w:p>
          <w:p w14:paraId="173C446D">
            <w:pPr>
              <w:widowControl/>
              <w:jc w:val="center"/>
              <w:rPr>
                <w:rFonts w:ascii="宋体" w:hAnsi="宋体"/>
              </w:rPr>
            </w:pPr>
            <w:r>
              <w:rPr>
                <w:rFonts w:ascii="宋体" w:hAnsi="宋体"/>
                <w:lang w:bidi="ar"/>
              </w:rPr>
              <w:t>兼</w:t>
            </w:r>
          </w:p>
          <w:p w14:paraId="166B7106">
            <w:pPr>
              <w:widowControl/>
              <w:jc w:val="center"/>
              <w:rPr>
                <w:rFonts w:ascii="宋体" w:hAnsi="宋体"/>
              </w:rPr>
            </w:pPr>
            <w:r>
              <w:rPr>
                <w:rFonts w:ascii="宋体" w:hAnsi="宋体"/>
                <w:lang w:bidi="ar"/>
              </w:rPr>
              <w:t>容</w:t>
            </w:r>
          </w:p>
        </w:tc>
        <w:tc>
          <w:tcPr>
            <w:tcW w:w="1122" w:type="dxa"/>
            <w:tcBorders>
              <w:top w:val="single" w:color="auto" w:sz="4" w:space="0"/>
              <w:left w:val="single" w:color="auto" w:sz="4" w:space="0"/>
              <w:bottom w:val="single" w:color="auto" w:sz="4" w:space="0"/>
              <w:right w:val="single" w:color="auto" w:sz="4" w:space="0"/>
            </w:tcBorders>
            <w:noWrap w:val="0"/>
            <w:vAlign w:val="center"/>
          </w:tcPr>
          <w:p w14:paraId="3E753617">
            <w:pPr>
              <w:widowControl/>
              <w:jc w:val="center"/>
              <w:rPr>
                <w:rFonts w:ascii="宋体" w:hAnsi="宋体"/>
              </w:rPr>
            </w:pPr>
            <w:r>
              <w:rPr>
                <w:rFonts w:ascii="宋体" w:hAnsi="宋体"/>
                <w:lang w:bidi="ar"/>
              </w:rPr>
              <w:t>允许</w:t>
            </w:r>
          </w:p>
        </w:tc>
        <w:tc>
          <w:tcPr>
            <w:tcW w:w="7142" w:type="dxa"/>
            <w:tcBorders>
              <w:top w:val="single" w:color="auto" w:sz="4" w:space="0"/>
              <w:left w:val="single" w:color="auto" w:sz="4" w:space="0"/>
              <w:bottom w:val="single" w:color="auto" w:sz="4" w:space="0"/>
              <w:right w:val="single" w:color="auto" w:sz="4" w:space="0"/>
            </w:tcBorders>
            <w:noWrap w:val="0"/>
            <w:vAlign w:val="center"/>
          </w:tcPr>
          <w:p w14:paraId="1BF83518">
            <w:pPr>
              <w:widowControl/>
              <w:rPr>
                <w:rFonts w:ascii="宋体" w:hAnsi="宋体"/>
              </w:rPr>
            </w:pPr>
            <w:r>
              <w:rPr>
                <w:rFonts w:ascii="宋体" w:hAnsi="宋体"/>
                <w:lang w:bidi="ar"/>
              </w:rPr>
              <w:t>文化活动用地(A22)，中小学用地(A33)，体育用地(A4)，社会福利用地(A6)，零售商业用地(B11)，其他公用设施营业网点用地(B49)</w:t>
            </w:r>
          </w:p>
        </w:tc>
      </w:tr>
      <w:tr w14:paraId="6043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9" w:type="dxa"/>
            <w:vMerge w:val="continue"/>
            <w:tcBorders>
              <w:top w:val="single" w:color="auto" w:sz="4" w:space="0"/>
              <w:left w:val="single" w:color="auto" w:sz="4" w:space="0"/>
              <w:bottom w:val="single" w:color="auto" w:sz="4" w:space="0"/>
              <w:right w:val="single" w:color="auto" w:sz="4" w:space="0"/>
            </w:tcBorders>
            <w:noWrap w:val="0"/>
            <w:vAlign w:val="center"/>
          </w:tcPr>
          <w:p w14:paraId="775ADD75">
            <w:pPr>
              <w:jc w:val="center"/>
              <w:rPr>
                <w:rFonts w:ascii="宋体" w:hAnsi="宋体"/>
                <w:sz w:val="20"/>
                <w:szCs w:val="20"/>
              </w:rPr>
            </w:pPr>
          </w:p>
        </w:tc>
        <w:tc>
          <w:tcPr>
            <w:tcW w:w="1122" w:type="dxa"/>
            <w:tcBorders>
              <w:top w:val="single" w:color="auto" w:sz="4" w:space="0"/>
              <w:left w:val="single" w:color="auto" w:sz="4" w:space="0"/>
              <w:bottom w:val="single" w:color="auto" w:sz="4" w:space="0"/>
              <w:right w:val="single" w:color="auto" w:sz="4" w:space="0"/>
            </w:tcBorders>
            <w:noWrap w:val="0"/>
            <w:vAlign w:val="center"/>
          </w:tcPr>
          <w:p w14:paraId="45EB7027">
            <w:pPr>
              <w:widowControl/>
              <w:jc w:val="center"/>
              <w:rPr>
                <w:rFonts w:ascii="宋体" w:hAnsi="宋体"/>
                <w:lang w:bidi="ar"/>
              </w:rPr>
            </w:pPr>
            <w:r>
              <w:rPr>
                <w:rFonts w:ascii="宋体" w:hAnsi="宋体"/>
                <w:lang w:bidi="ar"/>
              </w:rPr>
              <w:t>有条件</w:t>
            </w:r>
          </w:p>
          <w:p w14:paraId="21D230B9">
            <w:pPr>
              <w:widowControl/>
              <w:jc w:val="center"/>
              <w:rPr>
                <w:rFonts w:ascii="宋体" w:hAnsi="宋体"/>
              </w:rPr>
            </w:pPr>
            <w:r>
              <w:rPr>
                <w:rFonts w:ascii="宋体" w:hAnsi="宋体"/>
                <w:lang w:bidi="ar"/>
              </w:rPr>
              <w:t>允许</w:t>
            </w:r>
          </w:p>
        </w:tc>
        <w:tc>
          <w:tcPr>
            <w:tcW w:w="7142" w:type="dxa"/>
            <w:tcBorders>
              <w:top w:val="single" w:color="auto" w:sz="4" w:space="0"/>
              <w:left w:val="single" w:color="auto" w:sz="4" w:space="0"/>
              <w:bottom w:val="single" w:color="auto" w:sz="4" w:space="0"/>
              <w:right w:val="single" w:color="auto" w:sz="4" w:space="0"/>
            </w:tcBorders>
            <w:noWrap w:val="0"/>
            <w:vAlign w:val="center"/>
          </w:tcPr>
          <w:p w14:paraId="2A6D7841">
            <w:pPr>
              <w:widowControl/>
              <w:rPr>
                <w:rFonts w:ascii="宋体" w:hAnsi="宋体"/>
              </w:rPr>
            </w:pPr>
            <w:r>
              <w:rPr>
                <w:rFonts w:ascii="宋体" w:hAnsi="宋体"/>
                <w:lang w:bidi="ar"/>
              </w:rPr>
              <w:t>行政办公用地(A1)，科研用地(A35)，医疗卫生用地（A5），餐饮用地(B13)，旅馆用地(B14)，商务用地(B2)，其他服务设施用地(B9)，道路与交通设施用地(S)，公用设施用地(U)</w:t>
            </w:r>
          </w:p>
        </w:tc>
      </w:tr>
      <w:tr w14:paraId="4D33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661" w:type="dxa"/>
            <w:gridSpan w:val="2"/>
            <w:tcBorders>
              <w:top w:val="single" w:color="auto" w:sz="4" w:space="0"/>
              <w:left w:val="single" w:color="auto" w:sz="4" w:space="0"/>
              <w:bottom w:val="single" w:color="auto" w:sz="4" w:space="0"/>
              <w:right w:val="single" w:color="auto" w:sz="4" w:space="0"/>
            </w:tcBorders>
            <w:noWrap w:val="0"/>
            <w:vAlign w:val="center"/>
          </w:tcPr>
          <w:p w14:paraId="4D2B5ABA">
            <w:pPr>
              <w:widowControl/>
              <w:jc w:val="center"/>
              <w:rPr>
                <w:rFonts w:ascii="宋体" w:hAnsi="宋体"/>
              </w:rPr>
            </w:pPr>
            <w:r>
              <w:rPr>
                <w:rFonts w:ascii="宋体" w:hAnsi="宋体"/>
                <w:lang w:bidi="ar"/>
              </w:rPr>
              <w:t>完全兼容</w:t>
            </w:r>
          </w:p>
        </w:tc>
        <w:tc>
          <w:tcPr>
            <w:tcW w:w="7142" w:type="dxa"/>
            <w:tcBorders>
              <w:top w:val="single" w:color="auto" w:sz="4" w:space="0"/>
              <w:left w:val="single" w:color="auto" w:sz="4" w:space="0"/>
              <w:bottom w:val="single" w:color="auto" w:sz="4" w:space="0"/>
              <w:right w:val="single" w:color="auto" w:sz="4" w:space="0"/>
            </w:tcBorders>
            <w:noWrap w:val="0"/>
            <w:vAlign w:val="center"/>
          </w:tcPr>
          <w:p w14:paraId="40216339">
            <w:pPr>
              <w:widowControl/>
              <w:rPr>
                <w:rFonts w:ascii="宋体" w:hAnsi="宋体"/>
              </w:rPr>
            </w:pPr>
            <w:r>
              <w:rPr>
                <w:rFonts w:ascii="宋体" w:hAnsi="宋体"/>
                <w:lang w:bidi="ar"/>
              </w:rPr>
              <w:t>绿地与广场用地(G)</w:t>
            </w:r>
          </w:p>
        </w:tc>
      </w:tr>
      <w:tr w14:paraId="70F8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661" w:type="dxa"/>
            <w:gridSpan w:val="2"/>
            <w:tcBorders>
              <w:top w:val="single" w:color="auto" w:sz="4" w:space="0"/>
              <w:left w:val="single" w:color="auto" w:sz="4" w:space="0"/>
              <w:bottom w:val="single" w:color="auto" w:sz="4" w:space="0"/>
              <w:right w:val="single" w:color="auto" w:sz="4" w:space="0"/>
            </w:tcBorders>
            <w:noWrap w:val="0"/>
            <w:vAlign w:val="center"/>
          </w:tcPr>
          <w:p w14:paraId="04D87E7E">
            <w:pPr>
              <w:widowControl/>
              <w:jc w:val="center"/>
              <w:rPr>
                <w:rFonts w:ascii="宋体" w:hAnsi="宋体"/>
              </w:rPr>
            </w:pPr>
            <w:r>
              <w:rPr>
                <w:rFonts w:ascii="宋体" w:hAnsi="宋体"/>
                <w:lang w:bidi="ar"/>
              </w:rPr>
              <w:t>禁止兼容</w:t>
            </w:r>
          </w:p>
        </w:tc>
        <w:tc>
          <w:tcPr>
            <w:tcW w:w="7142" w:type="dxa"/>
            <w:tcBorders>
              <w:top w:val="single" w:color="auto" w:sz="4" w:space="0"/>
              <w:left w:val="single" w:color="auto" w:sz="4" w:space="0"/>
              <w:bottom w:val="single" w:color="auto" w:sz="4" w:space="0"/>
              <w:right w:val="single" w:color="auto" w:sz="4" w:space="0"/>
            </w:tcBorders>
            <w:noWrap w:val="0"/>
            <w:vAlign w:val="center"/>
          </w:tcPr>
          <w:p w14:paraId="40284699">
            <w:pPr>
              <w:widowControl/>
              <w:rPr>
                <w:rFonts w:ascii="宋体" w:hAnsi="宋体"/>
              </w:rPr>
            </w:pPr>
            <w:r>
              <w:rPr>
                <w:rFonts w:ascii="宋体" w:hAnsi="宋体"/>
                <w:lang w:bidi="ar"/>
              </w:rPr>
              <w:t>批发市场用地(B12) ，工业用地(M)，物流仓储用地(W)</w:t>
            </w:r>
          </w:p>
        </w:tc>
      </w:tr>
    </w:tbl>
    <w:p w14:paraId="6803C824">
      <w:pPr>
        <w:snapToGrid w:val="0"/>
        <w:spacing w:after="288" w:afterLines="120" w:line="500" w:lineRule="exact"/>
        <w:jc w:val="center"/>
        <w:rPr>
          <w:rFonts w:eastAsia="仿宋"/>
          <w:b/>
          <w:sz w:val="28"/>
          <w:szCs w:val="28"/>
          <w:lang w:bidi="ar"/>
        </w:rPr>
      </w:pPr>
      <w:r>
        <w:rPr>
          <w:rFonts w:eastAsia="仿宋"/>
          <w:sz w:val="24"/>
          <w:lang w:bidi="ar"/>
        </w:rPr>
        <w:br w:type="page"/>
      </w:r>
      <w:r>
        <w:rPr>
          <w:rFonts w:eastAsia="仿宋"/>
          <w:b/>
          <w:sz w:val="28"/>
          <w:szCs w:val="28"/>
          <w:lang w:bidi="ar"/>
        </w:rPr>
        <w:t>表：公共管理与公共服务设施用地、商业服务业设施用地兼容性规定表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429"/>
        <w:gridCol w:w="1372"/>
        <w:gridCol w:w="1457"/>
        <w:gridCol w:w="1286"/>
        <w:gridCol w:w="1201"/>
        <w:gridCol w:w="1789"/>
        <w:gridCol w:w="1575"/>
      </w:tblGrid>
      <w:tr w14:paraId="5459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5" w:hRule="atLeast"/>
          <w:tblHeader/>
          <w:jc w:val="center"/>
        </w:trPr>
        <w:tc>
          <w:tcPr>
            <w:tcW w:w="846" w:type="dxa"/>
            <w:gridSpan w:val="2"/>
            <w:tcBorders>
              <w:top w:val="single" w:color="auto" w:sz="4" w:space="0"/>
              <w:left w:val="single" w:color="auto" w:sz="4" w:space="0"/>
              <w:bottom w:val="single" w:color="auto" w:sz="4" w:space="0"/>
              <w:right w:val="single" w:color="auto" w:sz="4" w:space="0"/>
            </w:tcBorders>
            <w:noWrap w:val="0"/>
            <w:vAlign w:val="center"/>
          </w:tcPr>
          <w:p w14:paraId="521FC830">
            <w:pPr>
              <w:widowControl/>
              <w:spacing w:line="260" w:lineRule="exact"/>
              <w:jc w:val="center"/>
              <w:rPr>
                <w:rFonts w:hint="eastAsia" w:ascii="黑体" w:eastAsia="黑体"/>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14:paraId="6F5DBB9B">
            <w:pPr>
              <w:widowControl/>
              <w:spacing w:line="260" w:lineRule="exact"/>
              <w:jc w:val="center"/>
              <w:rPr>
                <w:rFonts w:hint="eastAsia" w:ascii="黑体" w:eastAsia="黑体"/>
                <w:lang w:bidi="ar"/>
              </w:rPr>
            </w:pPr>
            <w:r>
              <w:rPr>
                <w:rFonts w:hint="eastAsia" w:ascii="黑体" w:eastAsia="黑体"/>
                <w:lang w:bidi="ar"/>
              </w:rPr>
              <w:t>行政办公</w:t>
            </w:r>
          </w:p>
          <w:p w14:paraId="52B9645D">
            <w:pPr>
              <w:widowControl/>
              <w:spacing w:line="260" w:lineRule="exact"/>
              <w:jc w:val="center"/>
              <w:rPr>
                <w:rFonts w:hint="eastAsia" w:ascii="黑体" w:eastAsia="黑体"/>
              </w:rPr>
            </w:pPr>
            <w:r>
              <w:rPr>
                <w:rFonts w:hint="eastAsia" w:ascii="黑体" w:eastAsia="黑体"/>
                <w:lang w:bidi="ar"/>
              </w:rPr>
              <w:t>用地(A1)</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6999650D">
            <w:pPr>
              <w:widowControl/>
              <w:spacing w:line="260" w:lineRule="exact"/>
              <w:jc w:val="center"/>
              <w:rPr>
                <w:rFonts w:hint="eastAsia" w:ascii="黑体" w:eastAsia="黑体"/>
                <w:lang w:bidi="ar"/>
              </w:rPr>
            </w:pPr>
            <w:r>
              <w:rPr>
                <w:rFonts w:hint="eastAsia" w:ascii="黑体" w:eastAsia="黑体"/>
                <w:lang w:bidi="ar"/>
              </w:rPr>
              <w:t>文化设施</w:t>
            </w:r>
          </w:p>
          <w:p w14:paraId="1B57DF16">
            <w:pPr>
              <w:widowControl/>
              <w:spacing w:line="260" w:lineRule="exact"/>
              <w:jc w:val="center"/>
              <w:rPr>
                <w:rFonts w:hint="eastAsia" w:ascii="黑体" w:eastAsia="黑体"/>
              </w:rPr>
            </w:pPr>
            <w:r>
              <w:rPr>
                <w:rFonts w:hint="eastAsia" w:ascii="黑体" w:eastAsia="黑体"/>
                <w:lang w:bidi="ar"/>
              </w:rPr>
              <w:t>用地(A2)</w:t>
            </w:r>
          </w:p>
        </w:tc>
        <w:tc>
          <w:tcPr>
            <w:tcW w:w="1286" w:type="dxa"/>
            <w:tcBorders>
              <w:top w:val="single" w:color="auto" w:sz="4" w:space="0"/>
              <w:left w:val="single" w:color="auto" w:sz="4" w:space="0"/>
              <w:bottom w:val="single" w:color="auto" w:sz="4" w:space="0"/>
              <w:right w:val="single" w:color="auto" w:sz="4" w:space="0"/>
            </w:tcBorders>
            <w:noWrap w:val="0"/>
            <w:vAlign w:val="center"/>
          </w:tcPr>
          <w:p w14:paraId="7D493095">
            <w:pPr>
              <w:widowControl/>
              <w:spacing w:line="260" w:lineRule="exact"/>
              <w:jc w:val="center"/>
              <w:rPr>
                <w:rFonts w:hint="eastAsia" w:ascii="黑体" w:eastAsia="黑体"/>
              </w:rPr>
            </w:pPr>
            <w:r>
              <w:rPr>
                <w:rFonts w:hint="eastAsia" w:ascii="黑体" w:eastAsia="黑体"/>
                <w:lang w:bidi="ar"/>
              </w:rPr>
              <w:t>高等院校用地(A31)、中等专业学校用地(A32)、特殊教育用地(A34)、科研用地(A35)</w:t>
            </w:r>
          </w:p>
        </w:tc>
        <w:tc>
          <w:tcPr>
            <w:tcW w:w="1201" w:type="dxa"/>
            <w:tcBorders>
              <w:top w:val="single" w:color="auto" w:sz="4" w:space="0"/>
              <w:left w:val="single" w:color="auto" w:sz="4" w:space="0"/>
              <w:bottom w:val="single" w:color="auto" w:sz="4" w:space="0"/>
              <w:right w:val="single" w:color="auto" w:sz="4" w:space="0"/>
            </w:tcBorders>
            <w:noWrap w:val="0"/>
            <w:vAlign w:val="center"/>
          </w:tcPr>
          <w:p w14:paraId="26DAE9A0">
            <w:pPr>
              <w:widowControl/>
              <w:spacing w:line="260" w:lineRule="exact"/>
              <w:jc w:val="center"/>
              <w:rPr>
                <w:rFonts w:hint="eastAsia" w:ascii="黑体" w:eastAsia="黑体"/>
              </w:rPr>
            </w:pPr>
            <w:r>
              <w:rPr>
                <w:rFonts w:hint="eastAsia" w:ascii="黑体" w:eastAsia="黑体"/>
                <w:lang w:bidi="ar"/>
              </w:rPr>
              <w:t>体育用地(A4)</w:t>
            </w:r>
          </w:p>
        </w:tc>
        <w:tc>
          <w:tcPr>
            <w:tcW w:w="1789" w:type="dxa"/>
            <w:tcBorders>
              <w:top w:val="single" w:color="auto" w:sz="4" w:space="0"/>
              <w:left w:val="single" w:color="auto" w:sz="4" w:space="0"/>
              <w:bottom w:val="single" w:color="auto" w:sz="4" w:space="0"/>
              <w:right w:val="single" w:color="auto" w:sz="4" w:space="0"/>
            </w:tcBorders>
            <w:noWrap w:val="0"/>
            <w:vAlign w:val="center"/>
          </w:tcPr>
          <w:p w14:paraId="1486A399">
            <w:pPr>
              <w:widowControl/>
              <w:spacing w:line="260" w:lineRule="exact"/>
              <w:jc w:val="center"/>
              <w:rPr>
                <w:rFonts w:hint="eastAsia" w:ascii="黑体" w:eastAsia="黑体"/>
              </w:rPr>
            </w:pPr>
            <w:r>
              <w:rPr>
                <w:rFonts w:hint="eastAsia" w:ascii="黑体" w:eastAsia="黑体"/>
                <w:lang w:bidi="ar"/>
              </w:rPr>
              <w:t>零售商业用地(B11)、餐饮用地(B13)、旅馆用地(B14)、商务用地(B2)、娱乐用地(B31)、公用设施营业网点用地(B4)、其他服务设施用地(B9)</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3EE2F081">
            <w:pPr>
              <w:widowControl/>
              <w:spacing w:line="260" w:lineRule="exact"/>
              <w:jc w:val="center"/>
              <w:rPr>
                <w:rFonts w:hint="eastAsia" w:ascii="黑体" w:eastAsia="黑体"/>
              </w:rPr>
            </w:pPr>
            <w:r>
              <w:rPr>
                <w:rFonts w:hint="eastAsia" w:ascii="黑体" w:eastAsia="黑体"/>
                <w:lang w:bidi="ar"/>
              </w:rPr>
              <w:t>批发市场用地(B12)</w:t>
            </w:r>
          </w:p>
        </w:tc>
      </w:tr>
      <w:tr w14:paraId="7AC2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7" w:type="dxa"/>
            <w:vMerge w:val="restart"/>
            <w:tcBorders>
              <w:top w:val="single" w:color="auto" w:sz="4" w:space="0"/>
              <w:left w:val="single" w:color="auto" w:sz="4" w:space="0"/>
              <w:bottom w:val="single" w:color="auto" w:sz="4" w:space="0"/>
              <w:right w:val="single" w:color="auto" w:sz="4" w:space="0"/>
            </w:tcBorders>
            <w:noWrap w:val="0"/>
            <w:vAlign w:val="center"/>
          </w:tcPr>
          <w:p w14:paraId="05290843">
            <w:pPr>
              <w:widowControl/>
              <w:spacing w:line="260" w:lineRule="exact"/>
              <w:rPr>
                <w:rFonts w:ascii="宋体" w:hAnsi="宋体"/>
                <w:b/>
                <w:sz w:val="19"/>
                <w:szCs w:val="21"/>
              </w:rPr>
            </w:pPr>
            <w:r>
              <w:rPr>
                <w:rFonts w:ascii="宋体" w:hAnsi="宋体"/>
                <w:b/>
                <w:sz w:val="19"/>
                <w:szCs w:val="21"/>
                <w:lang w:bidi="ar"/>
              </w:rPr>
              <w:t>部</w:t>
            </w:r>
          </w:p>
          <w:p w14:paraId="04E297EB">
            <w:pPr>
              <w:widowControl/>
              <w:spacing w:line="260" w:lineRule="exact"/>
              <w:rPr>
                <w:rFonts w:ascii="宋体" w:hAnsi="宋体"/>
                <w:b/>
                <w:sz w:val="19"/>
                <w:szCs w:val="21"/>
              </w:rPr>
            </w:pPr>
            <w:r>
              <w:rPr>
                <w:rFonts w:ascii="宋体" w:hAnsi="宋体"/>
                <w:b/>
                <w:sz w:val="19"/>
                <w:szCs w:val="21"/>
                <w:lang w:bidi="ar"/>
              </w:rPr>
              <w:t>分</w:t>
            </w:r>
          </w:p>
          <w:p w14:paraId="6A9D29AC">
            <w:pPr>
              <w:widowControl/>
              <w:spacing w:line="260" w:lineRule="exact"/>
              <w:rPr>
                <w:rFonts w:ascii="宋体" w:hAnsi="宋体"/>
                <w:b/>
                <w:sz w:val="19"/>
                <w:szCs w:val="21"/>
              </w:rPr>
            </w:pPr>
            <w:r>
              <w:rPr>
                <w:rFonts w:ascii="宋体" w:hAnsi="宋体"/>
                <w:b/>
                <w:sz w:val="19"/>
                <w:szCs w:val="21"/>
                <w:lang w:bidi="ar"/>
              </w:rPr>
              <w:t>兼</w:t>
            </w:r>
          </w:p>
          <w:p w14:paraId="452B1BED">
            <w:pPr>
              <w:widowControl/>
              <w:spacing w:line="260" w:lineRule="exact"/>
              <w:rPr>
                <w:rFonts w:ascii="宋体" w:hAnsi="宋体"/>
                <w:b/>
                <w:sz w:val="19"/>
                <w:szCs w:val="21"/>
              </w:rPr>
            </w:pPr>
            <w:r>
              <w:rPr>
                <w:rFonts w:ascii="宋体" w:hAnsi="宋体"/>
                <w:b/>
                <w:sz w:val="19"/>
                <w:szCs w:val="21"/>
                <w:lang w:bidi="ar"/>
              </w:rPr>
              <w:t>容</w:t>
            </w:r>
          </w:p>
        </w:tc>
        <w:tc>
          <w:tcPr>
            <w:tcW w:w="429" w:type="dxa"/>
            <w:tcBorders>
              <w:top w:val="single" w:color="auto" w:sz="4" w:space="0"/>
              <w:left w:val="single" w:color="auto" w:sz="4" w:space="0"/>
              <w:bottom w:val="single" w:color="auto" w:sz="4" w:space="0"/>
              <w:right w:val="single" w:color="auto" w:sz="4" w:space="0"/>
            </w:tcBorders>
            <w:noWrap w:val="0"/>
            <w:vAlign w:val="center"/>
          </w:tcPr>
          <w:p w14:paraId="761E52A9">
            <w:pPr>
              <w:widowControl/>
              <w:adjustRightInd w:val="0"/>
              <w:spacing w:line="260" w:lineRule="exact"/>
              <w:rPr>
                <w:rFonts w:ascii="宋体" w:hAnsi="宋体"/>
                <w:b/>
                <w:sz w:val="19"/>
                <w:szCs w:val="21"/>
              </w:rPr>
            </w:pPr>
            <w:r>
              <w:rPr>
                <w:rFonts w:ascii="宋体" w:hAnsi="宋体"/>
                <w:b/>
                <w:sz w:val="19"/>
                <w:szCs w:val="21"/>
                <w:lang w:bidi="ar"/>
              </w:rPr>
              <w:t>允许</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5199BC16">
            <w:pPr>
              <w:widowControl/>
              <w:spacing w:line="260" w:lineRule="exact"/>
              <w:jc w:val="center"/>
              <w:rPr>
                <w:rFonts w:ascii="宋体" w:hAnsi="宋体"/>
                <w:sz w:val="19"/>
                <w:szCs w:val="21"/>
              </w:rPr>
            </w:pPr>
            <w:r>
              <w:rPr>
                <w:rFonts w:ascii="宋体" w:hAnsi="宋体"/>
                <w:sz w:val="19"/>
                <w:szCs w:val="21"/>
                <w:lang w:bidi="ar"/>
              </w:rPr>
              <w:t>-</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28E4D868">
            <w:pPr>
              <w:widowControl/>
              <w:spacing w:line="260" w:lineRule="exact"/>
              <w:rPr>
                <w:rFonts w:ascii="宋体" w:hAnsi="宋体"/>
                <w:sz w:val="19"/>
                <w:szCs w:val="21"/>
              </w:rPr>
            </w:pPr>
          </w:p>
        </w:tc>
        <w:tc>
          <w:tcPr>
            <w:tcW w:w="1286" w:type="dxa"/>
            <w:tcBorders>
              <w:top w:val="single" w:color="auto" w:sz="4" w:space="0"/>
              <w:left w:val="single" w:color="auto" w:sz="4" w:space="0"/>
              <w:bottom w:val="single" w:color="auto" w:sz="4" w:space="0"/>
              <w:right w:val="single" w:color="auto" w:sz="4" w:space="0"/>
            </w:tcBorders>
            <w:noWrap w:val="0"/>
            <w:vAlign w:val="center"/>
          </w:tcPr>
          <w:p w14:paraId="6EF88166">
            <w:pPr>
              <w:widowControl/>
              <w:spacing w:line="260" w:lineRule="exact"/>
              <w:jc w:val="center"/>
              <w:rPr>
                <w:rFonts w:ascii="宋体" w:hAnsi="宋体"/>
                <w:sz w:val="19"/>
                <w:szCs w:val="21"/>
              </w:rPr>
            </w:pPr>
            <w:r>
              <w:rPr>
                <w:rFonts w:ascii="宋体" w:hAnsi="宋体"/>
                <w:sz w:val="19"/>
                <w:szCs w:val="21"/>
                <w:lang w:bidi="ar"/>
              </w:rPr>
              <w:t>相互兼容</w:t>
            </w:r>
          </w:p>
        </w:tc>
        <w:tc>
          <w:tcPr>
            <w:tcW w:w="1201" w:type="dxa"/>
            <w:tcBorders>
              <w:top w:val="single" w:color="auto" w:sz="4" w:space="0"/>
              <w:left w:val="single" w:color="auto" w:sz="4" w:space="0"/>
              <w:bottom w:val="single" w:color="auto" w:sz="4" w:space="0"/>
              <w:right w:val="single" w:color="auto" w:sz="4" w:space="0"/>
            </w:tcBorders>
            <w:noWrap w:val="0"/>
            <w:vAlign w:val="center"/>
          </w:tcPr>
          <w:p w14:paraId="0CBF61B4">
            <w:pPr>
              <w:widowControl/>
              <w:spacing w:line="260" w:lineRule="exact"/>
              <w:rPr>
                <w:rFonts w:ascii="宋体" w:hAnsi="宋体"/>
                <w:sz w:val="19"/>
                <w:szCs w:val="21"/>
              </w:rPr>
            </w:pPr>
          </w:p>
        </w:tc>
        <w:tc>
          <w:tcPr>
            <w:tcW w:w="1789" w:type="dxa"/>
            <w:tcBorders>
              <w:top w:val="single" w:color="auto" w:sz="4" w:space="0"/>
              <w:left w:val="single" w:color="auto" w:sz="4" w:space="0"/>
              <w:bottom w:val="single" w:color="auto" w:sz="4" w:space="0"/>
              <w:right w:val="single" w:color="auto" w:sz="4" w:space="0"/>
            </w:tcBorders>
            <w:noWrap w:val="0"/>
            <w:vAlign w:val="center"/>
          </w:tcPr>
          <w:p w14:paraId="713A53DF">
            <w:pPr>
              <w:widowControl/>
              <w:spacing w:line="260" w:lineRule="exact"/>
              <w:rPr>
                <w:rFonts w:ascii="宋体" w:hAnsi="宋体"/>
                <w:sz w:val="19"/>
                <w:szCs w:val="21"/>
              </w:rPr>
            </w:pPr>
            <w:r>
              <w:rPr>
                <w:rFonts w:ascii="宋体" w:hAnsi="宋体"/>
                <w:sz w:val="19"/>
                <w:szCs w:val="21"/>
                <w:lang w:bidi="ar"/>
              </w:rPr>
              <w:t>行政办公用地(A1)，文化设施用地(A2)，教育科研用地(A3)，体育用地(A4)</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786482AE">
            <w:pPr>
              <w:widowControl/>
              <w:spacing w:line="260" w:lineRule="exact"/>
              <w:rPr>
                <w:rFonts w:ascii="宋体" w:hAnsi="宋体"/>
                <w:sz w:val="19"/>
                <w:szCs w:val="21"/>
              </w:rPr>
            </w:pPr>
            <w:r>
              <w:rPr>
                <w:rFonts w:ascii="宋体" w:hAnsi="宋体"/>
                <w:sz w:val="19"/>
                <w:szCs w:val="21"/>
                <w:lang w:bidi="ar"/>
              </w:rPr>
              <w:t>零售商业用地(B11)，餐饮用地(B13) ，旅馆用地(B14)</w:t>
            </w:r>
          </w:p>
        </w:tc>
      </w:tr>
      <w:tr w14:paraId="10A4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2" w:hRule="atLeast"/>
          <w:tblHeader/>
          <w:jc w:val="center"/>
        </w:trPr>
        <w:tc>
          <w:tcPr>
            <w:tcW w:w="417" w:type="dxa"/>
            <w:vMerge w:val="continue"/>
            <w:tcBorders>
              <w:top w:val="single" w:color="auto" w:sz="4" w:space="0"/>
              <w:left w:val="single" w:color="auto" w:sz="4" w:space="0"/>
              <w:bottom w:val="single" w:color="auto" w:sz="4" w:space="0"/>
              <w:right w:val="single" w:color="auto" w:sz="4" w:space="0"/>
            </w:tcBorders>
            <w:noWrap w:val="0"/>
            <w:vAlign w:val="center"/>
          </w:tcPr>
          <w:p w14:paraId="1EFDBBFE">
            <w:pPr>
              <w:spacing w:line="260" w:lineRule="exact"/>
              <w:rPr>
                <w:rFonts w:ascii="宋体" w:hAnsi="宋体"/>
                <w:sz w:val="19"/>
                <w:szCs w:val="21"/>
              </w:rPr>
            </w:pPr>
          </w:p>
        </w:tc>
        <w:tc>
          <w:tcPr>
            <w:tcW w:w="429" w:type="dxa"/>
            <w:tcBorders>
              <w:top w:val="single" w:color="auto" w:sz="4" w:space="0"/>
              <w:left w:val="single" w:color="auto" w:sz="4" w:space="0"/>
              <w:bottom w:val="single" w:color="auto" w:sz="4" w:space="0"/>
              <w:right w:val="single" w:color="auto" w:sz="4" w:space="0"/>
            </w:tcBorders>
            <w:noWrap w:val="0"/>
            <w:vAlign w:val="center"/>
          </w:tcPr>
          <w:p w14:paraId="40BE247B">
            <w:pPr>
              <w:widowControl/>
              <w:spacing w:line="260" w:lineRule="exact"/>
              <w:rPr>
                <w:rFonts w:ascii="宋体" w:hAnsi="宋体"/>
                <w:b/>
                <w:sz w:val="19"/>
                <w:szCs w:val="21"/>
              </w:rPr>
            </w:pPr>
            <w:r>
              <w:rPr>
                <w:rFonts w:ascii="宋体" w:hAnsi="宋体"/>
                <w:b/>
                <w:sz w:val="19"/>
                <w:szCs w:val="21"/>
                <w:lang w:bidi="ar"/>
              </w:rPr>
              <w:t>有条件允许</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59C0C940">
            <w:pPr>
              <w:widowControl/>
              <w:spacing w:line="260" w:lineRule="exact"/>
              <w:rPr>
                <w:rFonts w:ascii="宋体" w:hAnsi="宋体"/>
                <w:sz w:val="19"/>
                <w:szCs w:val="21"/>
              </w:rPr>
            </w:pPr>
            <w:r>
              <w:rPr>
                <w:rFonts w:ascii="宋体" w:hAnsi="宋体"/>
                <w:sz w:val="19"/>
                <w:szCs w:val="21"/>
                <w:lang w:bidi="ar"/>
              </w:rPr>
              <w:t>文化设施用地(A2)，科研用地(A35)，体育场馆用地(A41)，旅馆用地(B14)，商务用地(B2)，其他公用设施营业网点用地(B49)，道路与交通设施用地(S)，公用设施用地(U)</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1BD733B3">
            <w:pPr>
              <w:widowControl/>
              <w:spacing w:line="260" w:lineRule="exact"/>
              <w:rPr>
                <w:rFonts w:ascii="宋体" w:hAnsi="宋体"/>
                <w:sz w:val="19"/>
                <w:szCs w:val="21"/>
              </w:rPr>
            </w:pPr>
            <w:r>
              <w:rPr>
                <w:rFonts w:ascii="宋体" w:hAnsi="宋体"/>
                <w:sz w:val="19"/>
                <w:szCs w:val="21"/>
                <w:lang w:bidi="ar"/>
              </w:rPr>
              <w:t>行政办公用地(A1)，体育用地(A4)，医院用地(A51)，社会福利用地(A6)，娱乐用地(B31)，其他公用设施营业网点用地(B49)，道路与交通设施用地(S)，公用设施用地(U) ，绿地与广场用地(G)</w:t>
            </w:r>
          </w:p>
        </w:tc>
        <w:tc>
          <w:tcPr>
            <w:tcW w:w="1286" w:type="dxa"/>
            <w:tcBorders>
              <w:top w:val="single" w:color="auto" w:sz="4" w:space="0"/>
              <w:left w:val="single" w:color="auto" w:sz="4" w:space="0"/>
              <w:bottom w:val="single" w:color="auto" w:sz="4" w:space="0"/>
              <w:right w:val="single" w:color="auto" w:sz="4" w:space="0"/>
            </w:tcBorders>
            <w:noWrap w:val="0"/>
            <w:vAlign w:val="center"/>
          </w:tcPr>
          <w:p w14:paraId="180B3869">
            <w:pPr>
              <w:widowControl/>
              <w:spacing w:line="260" w:lineRule="exact"/>
              <w:rPr>
                <w:rFonts w:ascii="宋体" w:hAnsi="宋体"/>
                <w:sz w:val="19"/>
                <w:szCs w:val="21"/>
              </w:rPr>
            </w:pPr>
            <w:r>
              <w:rPr>
                <w:rFonts w:ascii="宋体" w:hAnsi="宋体"/>
                <w:sz w:val="19"/>
                <w:szCs w:val="21"/>
                <w:lang w:bidi="ar"/>
              </w:rPr>
              <w:t>文化设施用地(A2)，体育用地(A4)，医疗卫生用地(A5)，社会福利用地(A6)，其他公用设施营业网点用地(B49)，道路与交通设施用地(S)，公用设施用地(U)</w:t>
            </w:r>
          </w:p>
        </w:tc>
        <w:tc>
          <w:tcPr>
            <w:tcW w:w="1201" w:type="dxa"/>
            <w:tcBorders>
              <w:top w:val="single" w:color="auto" w:sz="4" w:space="0"/>
              <w:left w:val="single" w:color="auto" w:sz="4" w:space="0"/>
              <w:bottom w:val="single" w:color="auto" w:sz="4" w:space="0"/>
              <w:right w:val="single" w:color="auto" w:sz="4" w:space="0"/>
            </w:tcBorders>
            <w:noWrap w:val="0"/>
            <w:vAlign w:val="center"/>
          </w:tcPr>
          <w:p w14:paraId="0582D4F2">
            <w:pPr>
              <w:widowControl/>
              <w:spacing w:line="260" w:lineRule="exact"/>
              <w:rPr>
                <w:rFonts w:ascii="宋体" w:hAnsi="宋体"/>
                <w:sz w:val="19"/>
                <w:szCs w:val="21"/>
              </w:rPr>
            </w:pPr>
            <w:r>
              <w:rPr>
                <w:rFonts w:ascii="宋体" w:hAnsi="宋体"/>
                <w:sz w:val="19"/>
                <w:szCs w:val="21"/>
                <w:lang w:bidi="ar"/>
              </w:rPr>
              <w:t>文化设施用地(A2)，康体用地(B32)，其他公用设施营业网点用地(B49)，道路与交通设施用地(S)，公用设施用地(U)，绿地与广场用地(G)</w:t>
            </w:r>
          </w:p>
        </w:tc>
        <w:tc>
          <w:tcPr>
            <w:tcW w:w="1789" w:type="dxa"/>
            <w:tcBorders>
              <w:top w:val="single" w:color="auto" w:sz="4" w:space="0"/>
              <w:left w:val="single" w:color="auto" w:sz="4" w:space="0"/>
              <w:bottom w:val="single" w:color="auto" w:sz="4" w:space="0"/>
              <w:right w:val="single" w:color="auto" w:sz="4" w:space="0"/>
            </w:tcBorders>
            <w:noWrap w:val="0"/>
            <w:vAlign w:val="center"/>
          </w:tcPr>
          <w:p w14:paraId="4C026EEE">
            <w:pPr>
              <w:widowControl/>
              <w:spacing w:line="260" w:lineRule="exact"/>
              <w:rPr>
                <w:rFonts w:ascii="宋体" w:hAnsi="宋体"/>
                <w:sz w:val="19"/>
                <w:szCs w:val="21"/>
              </w:rPr>
            </w:pPr>
            <w:r>
              <w:rPr>
                <w:rFonts w:ascii="宋体" w:hAnsi="宋体"/>
                <w:sz w:val="19"/>
                <w:szCs w:val="21"/>
                <w:lang w:bidi="ar"/>
              </w:rPr>
              <w:t>二类居住用地(R2)，医疗卫生用地(A5)，社会福利用地 (A6)，道路与交通设施用地(S)，公用设施用地(U)</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103FC8D0">
            <w:pPr>
              <w:widowControl/>
              <w:spacing w:line="260" w:lineRule="exact"/>
              <w:rPr>
                <w:rFonts w:ascii="宋体" w:hAnsi="宋体"/>
                <w:sz w:val="19"/>
                <w:szCs w:val="21"/>
              </w:rPr>
            </w:pPr>
            <w:r>
              <w:rPr>
                <w:rFonts w:ascii="宋体" w:hAnsi="宋体"/>
                <w:sz w:val="19"/>
                <w:szCs w:val="21"/>
                <w:lang w:bidi="ar"/>
              </w:rPr>
              <w:t>行政办公用地(A1)，商务用地(B2)，娱乐康体用地(B3)，其他公用设施营业网点用地(B49)，一类工业用地(M1)，一类物流仓储用地(W1)，道路与交通设施用地(S)，公用设施用地(U)</w:t>
            </w:r>
          </w:p>
        </w:tc>
      </w:tr>
      <w:tr w14:paraId="5C12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blHeader/>
          <w:jc w:val="center"/>
        </w:trPr>
        <w:tc>
          <w:tcPr>
            <w:tcW w:w="846" w:type="dxa"/>
            <w:gridSpan w:val="2"/>
            <w:tcBorders>
              <w:top w:val="single" w:color="auto" w:sz="4" w:space="0"/>
              <w:left w:val="single" w:color="auto" w:sz="4" w:space="0"/>
              <w:bottom w:val="single" w:color="auto" w:sz="4" w:space="0"/>
              <w:right w:val="single" w:color="auto" w:sz="4" w:space="0"/>
            </w:tcBorders>
            <w:noWrap w:val="0"/>
            <w:vAlign w:val="center"/>
          </w:tcPr>
          <w:p w14:paraId="7AC5EB96">
            <w:pPr>
              <w:widowControl/>
              <w:spacing w:line="260" w:lineRule="exact"/>
              <w:jc w:val="center"/>
              <w:rPr>
                <w:rFonts w:ascii="宋体" w:hAnsi="宋体"/>
                <w:b/>
                <w:sz w:val="19"/>
                <w:szCs w:val="21"/>
              </w:rPr>
            </w:pPr>
            <w:r>
              <w:rPr>
                <w:rFonts w:ascii="宋体" w:hAnsi="宋体"/>
                <w:b/>
                <w:sz w:val="19"/>
                <w:szCs w:val="21"/>
                <w:lang w:bidi="ar"/>
              </w:rPr>
              <w:t>完全</w:t>
            </w:r>
          </w:p>
          <w:p w14:paraId="59239903">
            <w:pPr>
              <w:widowControl/>
              <w:spacing w:line="260" w:lineRule="exact"/>
              <w:jc w:val="center"/>
              <w:rPr>
                <w:rFonts w:ascii="宋体" w:hAnsi="宋体"/>
                <w:b/>
                <w:sz w:val="19"/>
                <w:szCs w:val="21"/>
              </w:rPr>
            </w:pPr>
            <w:r>
              <w:rPr>
                <w:rFonts w:ascii="宋体" w:hAnsi="宋体"/>
                <w:b/>
                <w:sz w:val="19"/>
                <w:szCs w:val="21"/>
                <w:lang w:bidi="ar"/>
              </w:rPr>
              <w:t>兼容</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13DC5A7F">
            <w:pPr>
              <w:widowControl/>
              <w:spacing w:line="260" w:lineRule="exact"/>
              <w:rPr>
                <w:rFonts w:ascii="宋体" w:hAnsi="宋体"/>
                <w:sz w:val="19"/>
                <w:szCs w:val="21"/>
              </w:rPr>
            </w:pPr>
            <w:r>
              <w:rPr>
                <w:rFonts w:ascii="宋体" w:hAnsi="宋体"/>
                <w:sz w:val="19"/>
                <w:szCs w:val="21"/>
                <w:lang w:bidi="ar"/>
              </w:rPr>
              <w:t>绿地与广场用地(G)</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21DE7F90">
            <w:pPr>
              <w:widowControl/>
              <w:spacing w:line="260" w:lineRule="exact"/>
              <w:jc w:val="center"/>
              <w:rPr>
                <w:rFonts w:ascii="宋体" w:hAnsi="宋体"/>
                <w:sz w:val="19"/>
                <w:szCs w:val="21"/>
              </w:rPr>
            </w:pPr>
            <w:r>
              <w:rPr>
                <w:rFonts w:ascii="宋体" w:hAnsi="宋体"/>
                <w:sz w:val="19"/>
                <w:szCs w:val="21"/>
                <w:lang w:bidi="ar"/>
              </w:rPr>
              <w:t>-</w:t>
            </w:r>
          </w:p>
        </w:tc>
        <w:tc>
          <w:tcPr>
            <w:tcW w:w="1286" w:type="dxa"/>
            <w:tcBorders>
              <w:top w:val="single" w:color="auto" w:sz="4" w:space="0"/>
              <w:left w:val="single" w:color="auto" w:sz="4" w:space="0"/>
              <w:bottom w:val="single" w:color="auto" w:sz="4" w:space="0"/>
              <w:right w:val="single" w:color="auto" w:sz="4" w:space="0"/>
            </w:tcBorders>
            <w:noWrap w:val="0"/>
            <w:vAlign w:val="center"/>
          </w:tcPr>
          <w:p w14:paraId="21FC4769">
            <w:pPr>
              <w:widowControl/>
              <w:spacing w:line="260" w:lineRule="exact"/>
              <w:rPr>
                <w:rFonts w:ascii="宋体" w:hAnsi="宋体"/>
                <w:sz w:val="19"/>
                <w:szCs w:val="21"/>
              </w:rPr>
            </w:pPr>
            <w:r>
              <w:rPr>
                <w:rFonts w:ascii="宋体" w:hAnsi="宋体"/>
                <w:sz w:val="19"/>
                <w:szCs w:val="21"/>
                <w:lang w:bidi="ar"/>
              </w:rPr>
              <w:t>绿地与广场用地(G)</w:t>
            </w:r>
          </w:p>
        </w:tc>
        <w:tc>
          <w:tcPr>
            <w:tcW w:w="1201" w:type="dxa"/>
            <w:tcBorders>
              <w:top w:val="single" w:color="auto" w:sz="4" w:space="0"/>
              <w:left w:val="single" w:color="auto" w:sz="4" w:space="0"/>
              <w:bottom w:val="single" w:color="auto" w:sz="4" w:space="0"/>
              <w:right w:val="single" w:color="auto" w:sz="4" w:space="0"/>
            </w:tcBorders>
            <w:noWrap w:val="0"/>
            <w:vAlign w:val="center"/>
          </w:tcPr>
          <w:p w14:paraId="4D2F5127">
            <w:pPr>
              <w:widowControl/>
              <w:spacing w:line="260" w:lineRule="exact"/>
              <w:jc w:val="center"/>
              <w:rPr>
                <w:rFonts w:ascii="宋体" w:hAnsi="宋体"/>
                <w:sz w:val="19"/>
                <w:szCs w:val="21"/>
              </w:rPr>
            </w:pPr>
            <w:r>
              <w:rPr>
                <w:rFonts w:ascii="宋体" w:hAnsi="宋体"/>
                <w:sz w:val="19"/>
                <w:szCs w:val="21"/>
                <w:lang w:bidi="ar"/>
              </w:rPr>
              <w:t>-</w:t>
            </w:r>
          </w:p>
        </w:tc>
        <w:tc>
          <w:tcPr>
            <w:tcW w:w="1789" w:type="dxa"/>
            <w:tcBorders>
              <w:top w:val="single" w:color="auto" w:sz="4" w:space="0"/>
              <w:left w:val="single" w:color="auto" w:sz="4" w:space="0"/>
              <w:bottom w:val="single" w:color="auto" w:sz="4" w:space="0"/>
              <w:right w:val="single" w:color="auto" w:sz="4" w:space="0"/>
            </w:tcBorders>
            <w:noWrap w:val="0"/>
            <w:vAlign w:val="center"/>
          </w:tcPr>
          <w:p w14:paraId="685F383F">
            <w:pPr>
              <w:widowControl/>
              <w:spacing w:line="260" w:lineRule="exact"/>
              <w:rPr>
                <w:rFonts w:ascii="宋体" w:hAnsi="宋体"/>
                <w:sz w:val="19"/>
                <w:szCs w:val="21"/>
              </w:rPr>
            </w:pPr>
            <w:r>
              <w:rPr>
                <w:rFonts w:ascii="宋体" w:hAnsi="宋体"/>
                <w:sz w:val="19"/>
                <w:szCs w:val="21"/>
                <w:lang w:bidi="ar"/>
              </w:rPr>
              <w:t>相互兼容，绿地与广场用地(G)</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3F45EAC1">
            <w:pPr>
              <w:widowControl/>
              <w:spacing w:line="260" w:lineRule="exact"/>
              <w:rPr>
                <w:rFonts w:ascii="宋体" w:hAnsi="宋体"/>
                <w:sz w:val="19"/>
                <w:szCs w:val="21"/>
              </w:rPr>
            </w:pPr>
            <w:r>
              <w:rPr>
                <w:rFonts w:ascii="宋体" w:hAnsi="宋体"/>
                <w:sz w:val="19"/>
                <w:szCs w:val="21"/>
                <w:lang w:bidi="ar"/>
              </w:rPr>
              <w:t>绿地与广场用地(G)</w:t>
            </w:r>
          </w:p>
        </w:tc>
      </w:tr>
      <w:tr w14:paraId="4EE1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6" w:type="dxa"/>
            <w:gridSpan w:val="2"/>
            <w:tcBorders>
              <w:top w:val="single" w:color="auto" w:sz="4" w:space="0"/>
              <w:left w:val="single" w:color="auto" w:sz="4" w:space="0"/>
              <w:bottom w:val="single" w:color="auto" w:sz="4" w:space="0"/>
              <w:right w:val="single" w:color="auto" w:sz="4" w:space="0"/>
            </w:tcBorders>
            <w:noWrap w:val="0"/>
            <w:vAlign w:val="center"/>
          </w:tcPr>
          <w:p w14:paraId="73CBA226">
            <w:pPr>
              <w:widowControl/>
              <w:spacing w:line="260" w:lineRule="exact"/>
              <w:jc w:val="center"/>
              <w:rPr>
                <w:rFonts w:ascii="宋体" w:hAnsi="宋体"/>
                <w:b/>
                <w:sz w:val="19"/>
                <w:szCs w:val="21"/>
              </w:rPr>
            </w:pPr>
            <w:r>
              <w:rPr>
                <w:rFonts w:ascii="宋体" w:hAnsi="宋体"/>
                <w:b/>
                <w:sz w:val="19"/>
                <w:szCs w:val="21"/>
                <w:lang w:bidi="ar"/>
              </w:rPr>
              <w:t>禁止</w:t>
            </w:r>
          </w:p>
          <w:p w14:paraId="4C0339B2">
            <w:pPr>
              <w:widowControl/>
              <w:spacing w:line="260" w:lineRule="exact"/>
              <w:jc w:val="center"/>
              <w:rPr>
                <w:rFonts w:ascii="宋体" w:hAnsi="宋体"/>
                <w:b/>
                <w:sz w:val="19"/>
                <w:szCs w:val="21"/>
              </w:rPr>
            </w:pPr>
            <w:r>
              <w:rPr>
                <w:rFonts w:ascii="宋体" w:hAnsi="宋体"/>
                <w:b/>
                <w:sz w:val="19"/>
                <w:szCs w:val="21"/>
                <w:lang w:bidi="ar"/>
              </w:rPr>
              <w:t>兼容</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2D4DAAEF">
            <w:pPr>
              <w:widowControl/>
              <w:spacing w:line="260" w:lineRule="exact"/>
              <w:rPr>
                <w:rFonts w:ascii="宋体" w:hAnsi="宋体"/>
                <w:sz w:val="19"/>
                <w:szCs w:val="21"/>
              </w:rPr>
            </w:pPr>
            <w:r>
              <w:rPr>
                <w:rFonts w:ascii="宋体" w:hAnsi="宋体"/>
                <w:sz w:val="19"/>
                <w:szCs w:val="21"/>
                <w:lang w:bidi="ar"/>
              </w:rPr>
              <w:t>零售商业用地(B11)，批发市场用地(B12)，餐饮用地(B13)，娱乐康体用地(B3)，工业用地(M)，物流仓储用地(W)</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06A4860A">
            <w:pPr>
              <w:widowControl/>
              <w:spacing w:line="260" w:lineRule="exact"/>
              <w:rPr>
                <w:rFonts w:ascii="宋体" w:hAnsi="宋体"/>
                <w:sz w:val="19"/>
                <w:szCs w:val="21"/>
              </w:rPr>
            </w:pPr>
            <w:r>
              <w:rPr>
                <w:rFonts w:ascii="宋体" w:hAnsi="宋体"/>
                <w:sz w:val="19"/>
                <w:szCs w:val="21"/>
                <w:lang w:bidi="ar"/>
              </w:rPr>
              <w:t>零售商业用地(B11)，批发市场用地(B12)，餐饮用地(B13)，康体用地(B32)，工业用地(M)，物流仓储用地(W)</w:t>
            </w:r>
          </w:p>
        </w:tc>
        <w:tc>
          <w:tcPr>
            <w:tcW w:w="1286" w:type="dxa"/>
            <w:tcBorders>
              <w:top w:val="single" w:color="auto" w:sz="4" w:space="0"/>
              <w:left w:val="single" w:color="auto" w:sz="4" w:space="0"/>
              <w:bottom w:val="single" w:color="auto" w:sz="4" w:space="0"/>
              <w:right w:val="single" w:color="auto" w:sz="4" w:space="0"/>
            </w:tcBorders>
            <w:noWrap w:val="0"/>
            <w:vAlign w:val="center"/>
          </w:tcPr>
          <w:p w14:paraId="108D4F6D">
            <w:pPr>
              <w:widowControl/>
              <w:spacing w:line="260" w:lineRule="exact"/>
              <w:rPr>
                <w:rFonts w:ascii="宋体" w:hAnsi="宋体"/>
                <w:sz w:val="19"/>
                <w:szCs w:val="21"/>
              </w:rPr>
            </w:pPr>
            <w:r>
              <w:rPr>
                <w:rFonts w:ascii="宋体" w:hAnsi="宋体"/>
                <w:sz w:val="19"/>
                <w:szCs w:val="21"/>
                <w:lang w:bidi="ar"/>
              </w:rPr>
              <w:t>零售商业用地(B11)，批发市场用地(B12)，餐饮用地(B13)，娱乐康体用地(B3)，工业用地(M)，物流仓储用地(W)</w:t>
            </w:r>
          </w:p>
        </w:tc>
        <w:tc>
          <w:tcPr>
            <w:tcW w:w="1201" w:type="dxa"/>
            <w:tcBorders>
              <w:top w:val="single" w:color="auto" w:sz="4" w:space="0"/>
              <w:left w:val="single" w:color="auto" w:sz="4" w:space="0"/>
              <w:bottom w:val="single" w:color="auto" w:sz="4" w:space="0"/>
              <w:right w:val="single" w:color="auto" w:sz="4" w:space="0"/>
            </w:tcBorders>
            <w:noWrap w:val="0"/>
            <w:vAlign w:val="center"/>
          </w:tcPr>
          <w:p w14:paraId="706F9CC4">
            <w:pPr>
              <w:widowControl/>
              <w:spacing w:line="260" w:lineRule="exact"/>
              <w:rPr>
                <w:rFonts w:ascii="宋体" w:hAnsi="宋体"/>
                <w:sz w:val="19"/>
                <w:szCs w:val="21"/>
              </w:rPr>
            </w:pPr>
            <w:r>
              <w:rPr>
                <w:rFonts w:ascii="宋体" w:hAnsi="宋体"/>
                <w:sz w:val="19"/>
                <w:szCs w:val="21"/>
                <w:lang w:bidi="ar"/>
              </w:rPr>
              <w:t>零售商业用地(B11)，批发市场用地(B12)，餐饮用地(B13)，工业用地(M)，物流仓储用地(W)</w:t>
            </w:r>
          </w:p>
        </w:tc>
        <w:tc>
          <w:tcPr>
            <w:tcW w:w="1789" w:type="dxa"/>
            <w:tcBorders>
              <w:top w:val="single" w:color="auto" w:sz="4" w:space="0"/>
              <w:left w:val="single" w:color="auto" w:sz="4" w:space="0"/>
              <w:bottom w:val="single" w:color="auto" w:sz="4" w:space="0"/>
              <w:right w:val="single" w:color="auto" w:sz="4" w:space="0"/>
            </w:tcBorders>
            <w:noWrap w:val="0"/>
            <w:vAlign w:val="center"/>
          </w:tcPr>
          <w:p w14:paraId="67FE4730">
            <w:pPr>
              <w:widowControl/>
              <w:spacing w:line="260" w:lineRule="exact"/>
              <w:rPr>
                <w:rFonts w:ascii="宋体" w:hAnsi="宋体"/>
                <w:sz w:val="19"/>
                <w:szCs w:val="21"/>
              </w:rPr>
            </w:pPr>
            <w:r>
              <w:rPr>
                <w:rFonts w:ascii="宋体" w:hAnsi="宋体"/>
                <w:sz w:val="19"/>
                <w:szCs w:val="21"/>
                <w:lang w:bidi="ar"/>
              </w:rPr>
              <w:t>批发市场用地(B12)，工业用地(M)，物流仓储用地(W)</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693085A6">
            <w:pPr>
              <w:widowControl/>
              <w:spacing w:line="260" w:lineRule="exact"/>
              <w:rPr>
                <w:rFonts w:ascii="宋体" w:hAnsi="宋体"/>
                <w:sz w:val="19"/>
                <w:szCs w:val="21"/>
              </w:rPr>
            </w:pPr>
            <w:r>
              <w:rPr>
                <w:rFonts w:ascii="宋体" w:hAnsi="宋体"/>
                <w:sz w:val="19"/>
                <w:szCs w:val="21"/>
                <w:lang w:bidi="ar"/>
              </w:rPr>
              <w:t>二类三类工业用地(M2M3)，二类三类物流仓储用地(W2W3)</w:t>
            </w:r>
          </w:p>
        </w:tc>
      </w:tr>
    </w:tbl>
    <w:p w14:paraId="7176D0C4">
      <w:pPr>
        <w:tabs>
          <w:tab w:val="left" w:pos="1418"/>
        </w:tabs>
        <w:spacing w:line="360" w:lineRule="exact"/>
        <w:ind w:firstLine="381" w:firstLineChars="200"/>
        <w:rPr>
          <w:rFonts w:ascii="宋体" w:hAnsi="宋体"/>
          <w:bCs/>
          <w:sz w:val="19"/>
          <w:szCs w:val="19"/>
        </w:rPr>
      </w:pPr>
      <w:r>
        <w:rPr>
          <w:rFonts w:ascii="宋体" w:hAnsi="宋体"/>
          <w:b/>
          <w:bCs/>
          <w:sz w:val="19"/>
          <w:szCs w:val="19"/>
          <w:lang w:bidi="ar"/>
        </w:rPr>
        <w:t>注：</w:t>
      </w:r>
      <w:r>
        <w:rPr>
          <w:rFonts w:ascii="宋体" w:hAnsi="宋体"/>
          <w:bCs/>
          <w:sz w:val="19"/>
          <w:szCs w:val="19"/>
          <w:lang w:bidi="ar"/>
        </w:rPr>
        <w:t>批发市场用地(B12)兼容公共管理与公共服务设施用地(A)、商业服务业设施用地(B)、工业用地(M)和仓储用地(W)的各项用地总和不得超过地块总用地规模的20%。</w:t>
      </w:r>
    </w:p>
    <w:p w14:paraId="0ACBC728">
      <w:pPr>
        <w:snapToGrid w:val="0"/>
        <w:spacing w:after="240" w:afterLines="100" w:line="500" w:lineRule="exact"/>
        <w:ind w:left="1689" w:leftChars="1" w:hanging="1687" w:hangingChars="600"/>
        <w:jc w:val="center"/>
        <w:rPr>
          <w:rFonts w:hint="eastAsia" w:eastAsia="仿宋"/>
          <w:b/>
          <w:sz w:val="28"/>
          <w:szCs w:val="28"/>
          <w:lang w:bidi="ar"/>
        </w:rPr>
      </w:pPr>
    </w:p>
    <w:p w14:paraId="5925A523">
      <w:pPr>
        <w:snapToGrid w:val="0"/>
        <w:spacing w:after="240" w:afterLines="100" w:line="500" w:lineRule="exact"/>
        <w:ind w:left="1930" w:leftChars="1" w:hanging="1928" w:hangingChars="600"/>
        <w:jc w:val="center"/>
        <w:rPr>
          <w:rFonts w:hint="eastAsia" w:ascii="仿宋_GB2312" w:eastAsia="仿宋_GB2312"/>
          <w:b/>
          <w:sz w:val="32"/>
          <w:szCs w:val="32"/>
        </w:rPr>
      </w:pPr>
      <w:r>
        <w:rPr>
          <w:rFonts w:hint="eastAsia" w:ascii="仿宋_GB2312" w:eastAsia="仿宋_GB2312"/>
          <w:b/>
          <w:sz w:val="32"/>
          <w:szCs w:val="32"/>
          <w:lang w:bidi="ar"/>
        </w:rPr>
        <w:t>表：工业用地、仓储用地兼容性规定表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93"/>
        <w:gridCol w:w="1970"/>
        <w:gridCol w:w="2037"/>
        <w:gridCol w:w="2022"/>
        <w:gridCol w:w="1872"/>
      </w:tblGrid>
      <w:tr w14:paraId="56B2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919" w:type="dxa"/>
            <w:gridSpan w:val="2"/>
            <w:tcBorders>
              <w:top w:val="single" w:color="auto" w:sz="4" w:space="0"/>
              <w:left w:val="single" w:color="auto" w:sz="4" w:space="0"/>
              <w:bottom w:val="single" w:color="auto" w:sz="4" w:space="0"/>
              <w:right w:val="single" w:color="auto" w:sz="4" w:space="0"/>
            </w:tcBorders>
            <w:noWrap w:val="0"/>
            <w:vAlign w:val="top"/>
          </w:tcPr>
          <w:p w14:paraId="4F4D4419">
            <w:pPr>
              <w:widowControl/>
              <w:jc w:val="center"/>
              <w:rPr>
                <w:rFonts w:hint="eastAsia" w:ascii="黑体" w:eastAsia="黑体"/>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32E877E5">
            <w:pPr>
              <w:widowControl/>
              <w:spacing w:line="320" w:lineRule="exact"/>
              <w:jc w:val="center"/>
              <w:rPr>
                <w:rFonts w:hint="eastAsia" w:ascii="黑体" w:eastAsia="黑体"/>
              </w:rPr>
            </w:pPr>
            <w:r>
              <w:rPr>
                <w:rFonts w:hint="eastAsia" w:ascii="黑体" w:eastAsia="黑体"/>
                <w:lang w:bidi="ar"/>
              </w:rPr>
              <w:t>一类工业用地(M1)</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40F54C9A">
            <w:pPr>
              <w:widowControl/>
              <w:spacing w:line="320" w:lineRule="exact"/>
              <w:jc w:val="center"/>
              <w:rPr>
                <w:rFonts w:hint="eastAsia" w:ascii="黑体" w:eastAsia="黑体"/>
              </w:rPr>
            </w:pPr>
            <w:r>
              <w:rPr>
                <w:rFonts w:hint="eastAsia" w:ascii="黑体" w:eastAsia="黑体"/>
                <w:lang w:bidi="ar"/>
              </w:rPr>
              <w:t>二类工业用地(M2)</w:t>
            </w:r>
          </w:p>
        </w:tc>
        <w:tc>
          <w:tcPr>
            <w:tcW w:w="2022" w:type="dxa"/>
            <w:tcBorders>
              <w:top w:val="single" w:color="auto" w:sz="4" w:space="0"/>
              <w:left w:val="single" w:color="auto" w:sz="4" w:space="0"/>
              <w:bottom w:val="single" w:color="auto" w:sz="4" w:space="0"/>
              <w:right w:val="single" w:color="auto" w:sz="4" w:space="0"/>
            </w:tcBorders>
            <w:noWrap w:val="0"/>
            <w:vAlign w:val="center"/>
          </w:tcPr>
          <w:p w14:paraId="70D1BBF4">
            <w:pPr>
              <w:widowControl/>
              <w:spacing w:line="320" w:lineRule="exact"/>
              <w:jc w:val="center"/>
              <w:rPr>
                <w:rFonts w:hint="eastAsia" w:ascii="黑体" w:eastAsia="黑体"/>
              </w:rPr>
            </w:pPr>
            <w:r>
              <w:rPr>
                <w:rFonts w:hint="eastAsia" w:ascii="黑体" w:eastAsia="黑体"/>
                <w:lang w:bidi="ar"/>
              </w:rPr>
              <w:t>三类工业用地(M3)</w:t>
            </w:r>
          </w:p>
        </w:tc>
        <w:tc>
          <w:tcPr>
            <w:tcW w:w="1872" w:type="dxa"/>
            <w:tcBorders>
              <w:top w:val="single" w:color="auto" w:sz="4" w:space="0"/>
              <w:left w:val="single" w:color="auto" w:sz="4" w:space="0"/>
              <w:bottom w:val="single" w:color="auto" w:sz="4" w:space="0"/>
              <w:right w:val="single" w:color="auto" w:sz="4" w:space="0"/>
            </w:tcBorders>
            <w:noWrap w:val="0"/>
            <w:vAlign w:val="center"/>
          </w:tcPr>
          <w:p w14:paraId="2F17C821">
            <w:pPr>
              <w:widowControl/>
              <w:spacing w:line="320" w:lineRule="exact"/>
              <w:jc w:val="center"/>
              <w:rPr>
                <w:rFonts w:hint="eastAsia" w:ascii="黑体" w:eastAsia="黑体"/>
              </w:rPr>
            </w:pPr>
            <w:r>
              <w:rPr>
                <w:rFonts w:hint="eastAsia" w:ascii="黑体" w:eastAsia="黑体"/>
                <w:lang w:bidi="ar"/>
              </w:rPr>
              <w:t>一类物流仓储用地(W1)、二类物流仓储用地(W2)</w:t>
            </w:r>
          </w:p>
        </w:tc>
      </w:tr>
      <w:tr w14:paraId="249E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114F5F21">
            <w:pPr>
              <w:widowControl/>
              <w:jc w:val="center"/>
              <w:rPr>
                <w:rFonts w:ascii="宋体" w:hAnsi="宋体"/>
              </w:rPr>
            </w:pPr>
            <w:r>
              <w:rPr>
                <w:rFonts w:ascii="宋体" w:hAnsi="宋体"/>
                <w:lang w:bidi="ar"/>
              </w:rPr>
              <w:t>部</w:t>
            </w:r>
          </w:p>
          <w:p w14:paraId="4AE9EB23">
            <w:pPr>
              <w:widowControl/>
              <w:jc w:val="center"/>
              <w:rPr>
                <w:rFonts w:ascii="宋体" w:hAnsi="宋体"/>
              </w:rPr>
            </w:pPr>
            <w:r>
              <w:rPr>
                <w:rFonts w:ascii="宋体" w:hAnsi="宋体"/>
                <w:lang w:bidi="ar"/>
              </w:rPr>
              <w:t>分</w:t>
            </w:r>
          </w:p>
          <w:p w14:paraId="1B1C9F96">
            <w:pPr>
              <w:widowControl/>
              <w:jc w:val="center"/>
              <w:rPr>
                <w:rFonts w:ascii="宋体" w:hAnsi="宋体"/>
              </w:rPr>
            </w:pPr>
            <w:r>
              <w:rPr>
                <w:rFonts w:ascii="宋体" w:hAnsi="宋体"/>
                <w:lang w:bidi="ar"/>
              </w:rPr>
              <w:t>兼</w:t>
            </w:r>
          </w:p>
          <w:p w14:paraId="6DF7C380">
            <w:pPr>
              <w:widowControl/>
              <w:jc w:val="center"/>
              <w:rPr>
                <w:rFonts w:ascii="宋体" w:hAnsi="宋体"/>
              </w:rPr>
            </w:pPr>
            <w:r>
              <w:rPr>
                <w:rFonts w:ascii="宋体" w:hAnsi="宋体"/>
                <w:lang w:bidi="ar"/>
              </w:rPr>
              <w:t>容</w:t>
            </w:r>
          </w:p>
        </w:tc>
        <w:tc>
          <w:tcPr>
            <w:tcW w:w="493" w:type="dxa"/>
            <w:tcBorders>
              <w:top w:val="single" w:color="auto" w:sz="4" w:space="0"/>
              <w:left w:val="single" w:color="auto" w:sz="4" w:space="0"/>
              <w:bottom w:val="single" w:color="auto" w:sz="4" w:space="0"/>
              <w:right w:val="single" w:color="auto" w:sz="4" w:space="0"/>
            </w:tcBorders>
            <w:noWrap w:val="0"/>
            <w:vAlign w:val="center"/>
          </w:tcPr>
          <w:p w14:paraId="68101780">
            <w:pPr>
              <w:widowControl/>
              <w:jc w:val="center"/>
              <w:rPr>
                <w:rFonts w:ascii="宋体" w:hAnsi="宋体"/>
              </w:rPr>
            </w:pPr>
            <w:r>
              <w:rPr>
                <w:rFonts w:ascii="宋体" w:hAnsi="宋体"/>
                <w:lang w:bidi="ar"/>
              </w:rPr>
              <w:t>允许</w:t>
            </w:r>
          </w:p>
        </w:tc>
        <w:tc>
          <w:tcPr>
            <w:tcW w:w="1970" w:type="dxa"/>
            <w:tcBorders>
              <w:top w:val="single" w:color="auto" w:sz="4" w:space="0"/>
              <w:left w:val="single" w:color="auto" w:sz="4" w:space="0"/>
              <w:bottom w:val="single" w:color="auto" w:sz="4" w:space="0"/>
              <w:right w:val="single" w:color="auto" w:sz="4" w:space="0"/>
            </w:tcBorders>
            <w:noWrap w:val="0"/>
            <w:vAlign w:val="center"/>
          </w:tcPr>
          <w:p w14:paraId="0FBC6F25">
            <w:pPr>
              <w:widowControl/>
              <w:spacing w:line="320" w:lineRule="exact"/>
              <w:jc w:val="center"/>
              <w:rPr>
                <w:rFonts w:ascii="宋体" w:hAnsi="宋体"/>
              </w:rPr>
            </w:pPr>
            <w:r>
              <w:rPr>
                <w:rFonts w:ascii="宋体" w:hAnsi="宋体"/>
                <w:lang w:bidi="ar"/>
              </w:rPr>
              <w:t>-</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7AD4C62F">
            <w:pPr>
              <w:widowControl/>
              <w:spacing w:line="320" w:lineRule="exact"/>
              <w:jc w:val="center"/>
              <w:rPr>
                <w:rFonts w:ascii="宋体" w:hAnsi="宋体"/>
              </w:rPr>
            </w:pPr>
            <w:r>
              <w:rPr>
                <w:rFonts w:ascii="宋体" w:hAnsi="宋体"/>
                <w:lang w:bidi="ar"/>
              </w:rPr>
              <w:t>-</w:t>
            </w:r>
          </w:p>
        </w:tc>
        <w:tc>
          <w:tcPr>
            <w:tcW w:w="2022" w:type="dxa"/>
            <w:tcBorders>
              <w:top w:val="single" w:color="auto" w:sz="4" w:space="0"/>
              <w:left w:val="single" w:color="auto" w:sz="4" w:space="0"/>
              <w:bottom w:val="single" w:color="auto" w:sz="4" w:space="0"/>
              <w:right w:val="single" w:color="auto" w:sz="4" w:space="0"/>
            </w:tcBorders>
            <w:noWrap w:val="0"/>
            <w:vAlign w:val="center"/>
          </w:tcPr>
          <w:p w14:paraId="1C634AD4">
            <w:pPr>
              <w:widowControl/>
              <w:spacing w:line="320" w:lineRule="exact"/>
              <w:jc w:val="center"/>
              <w:rPr>
                <w:rFonts w:ascii="宋体" w:hAnsi="宋体"/>
              </w:rPr>
            </w:pPr>
            <w:r>
              <w:rPr>
                <w:rFonts w:ascii="宋体" w:hAnsi="宋体"/>
                <w:lang w:bidi="ar"/>
              </w:rPr>
              <w:t>-</w:t>
            </w:r>
          </w:p>
        </w:tc>
        <w:tc>
          <w:tcPr>
            <w:tcW w:w="1872" w:type="dxa"/>
            <w:tcBorders>
              <w:top w:val="single" w:color="auto" w:sz="4" w:space="0"/>
              <w:left w:val="single" w:color="auto" w:sz="4" w:space="0"/>
              <w:bottom w:val="single" w:color="auto" w:sz="4" w:space="0"/>
              <w:right w:val="single" w:color="auto" w:sz="4" w:space="0"/>
            </w:tcBorders>
            <w:noWrap w:val="0"/>
            <w:vAlign w:val="center"/>
          </w:tcPr>
          <w:p w14:paraId="44F539AF">
            <w:pPr>
              <w:widowControl/>
              <w:spacing w:line="320" w:lineRule="exact"/>
              <w:jc w:val="center"/>
              <w:rPr>
                <w:rFonts w:ascii="宋体" w:hAnsi="宋体"/>
              </w:rPr>
            </w:pPr>
            <w:r>
              <w:rPr>
                <w:rFonts w:ascii="宋体" w:hAnsi="宋体"/>
                <w:lang w:bidi="ar"/>
              </w:rPr>
              <w:t>-</w:t>
            </w:r>
          </w:p>
        </w:tc>
      </w:tr>
      <w:tr w14:paraId="45A2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9"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41F23864">
            <w:pPr>
              <w:rPr>
                <w:rFonts w:ascii="宋体" w:hAnsi="宋体"/>
                <w:sz w:val="20"/>
                <w:szCs w:val="20"/>
              </w:rPr>
            </w:pPr>
          </w:p>
        </w:tc>
        <w:tc>
          <w:tcPr>
            <w:tcW w:w="493" w:type="dxa"/>
            <w:tcBorders>
              <w:top w:val="single" w:color="auto" w:sz="4" w:space="0"/>
              <w:left w:val="single" w:color="auto" w:sz="4" w:space="0"/>
              <w:bottom w:val="single" w:color="auto" w:sz="4" w:space="0"/>
              <w:right w:val="single" w:color="auto" w:sz="4" w:space="0"/>
            </w:tcBorders>
            <w:noWrap w:val="0"/>
            <w:vAlign w:val="center"/>
          </w:tcPr>
          <w:p w14:paraId="3D1A31C4">
            <w:pPr>
              <w:widowControl/>
              <w:jc w:val="center"/>
              <w:rPr>
                <w:rFonts w:ascii="宋体" w:hAnsi="宋体"/>
              </w:rPr>
            </w:pPr>
            <w:r>
              <w:rPr>
                <w:rFonts w:ascii="宋体" w:hAnsi="宋体"/>
                <w:lang w:bidi="ar"/>
              </w:rPr>
              <w:t>有条件允许</w:t>
            </w:r>
          </w:p>
        </w:tc>
        <w:tc>
          <w:tcPr>
            <w:tcW w:w="1970" w:type="dxa"/>
            <w:tcBorders>
              <w:top w:val="single" w:color="auto" w:sz="4" w:space="0"/>
              <w:left w:val="single" w:color="auto" w:sz="4" w:space="0"/>
              <w:bottom w:val="single" w:color="auto" w:sz="4" w:space="0"/>
              <w:right w:val="single" w:color="auto" w:sz="4" w:space="0"/>
            </w:tcBorders>
            <w:noWrap w:val="0"/>
            <w:vAlign w:val="center"/>
          </w:tcPr>
          <w:p w14:paraId="11E72DE9">
            <w:pPr>
              <w:widowControl/>
              <w:spacing w:line="320" w:lineRule="exact"/>
              <w:rPr>
                <w:rFonts w:ascii="宋体" w:hAnsi="宋体"/>
              </w:rPr>
            </w:pPr>
            <w:r>
              <w:rPr>
                <w:rFonts w:ascii="宋体" w:hAnsi="宋体"/>
                <w:lang w:bidi="ar"/>
              </w:rPr>
              <w:t>行政办公用地(A1)，一类物流仓储用地(W1)，道路与交通设施用地(S)，公用设施用地(U)，绿地与广场用地(G)</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02F09A7A">
            <w:pPr>
              <w:widowControl/>
              <w:spacing w:line="320" w:lineRule="exact"/>
              <w:rPr>
                <w:rFonts w:ascii="宋体" w:hAnsi="宋体"/>
              </w:rPr>
            </w:pPr>
            <w:r>
              <w:rPr>
                <w:rFonts w:ascii="宋体" w:hAnsi="宋体"/>
                <w:lang w:bidi="ar"/>
              </w:rPr>
              <w:t>行政办公用地(A1)，一类二类物流仓储用地(W1W2)，道路与交通设施用地(S)，公用设施用地(U)，防护绿地(G2)</w:t>
            </w:r>
          </w:p>
        </w:tc>
        <w:tc>
          <w:tcPr>
            <w:tcW w:w="2022" w:type="dxa"/>
            <w:tcBorders>
              <w:top w:val="single" w:color="auto" w:sz="4" w:space="0"/>
              <w:left w:val="single" w:color="auto" w:sz="4" w:space="0"/>
              <w:bottom w:val="single" w:color="auto" w:sz="4" w:space="0"/>
              <w:right w:val="single" w:color="auto" w:sz="4" w:space="0"/>
            </w:tcBorders>
            <w:noWrap w:val="0"/>
            <w:vAlign w:val="center"/>
          </w:tcPr>
          <w:p w14:paraId="658BAEF1">
            <w:pPr>
              <w:widowControl/>
              <w:spacing w:line="320" w:lineRule="exact"/>
              <w:rPr>
                <w:rFonts w:ascii="宋体" w:hAnsi="宋体"/>
              </w:rPr>
            </w:pPr>
            <w:r>
              <w:rPr>
                <w:rFonts w:ascii="宋体" w:hAnsi="宋体"/>
                <w:lang w:bidi="ar"/>
              </w:rPr>
              <w:t>行政办公用地(A1)，一类二类物流仓储用地(W1W2)，道路与交通设施用地(S)，公用设施用地(U)，防护绿地(G2)</w:t>
            </w:r>
          </w:p>
        </w:tc>
        <w:tc>
          <w:tcPr>
            <w:tcW w:w="1872" w:type="dxa"/>
            <w:tcBorders>
              <w:top w:val="single" w:color="auto" w:sz="4" w:space="0"/>
              <w:left w:val="single" w:color="auto" w:sz="4" w:space="0"/>
              <w:bottom w:val="single" w:color="auto" w:sz="4" w:space="0"/>
              <w:right w:val="single" w:color="auto" w:sz="4" w:space="0"/>
            </w:tcBorders>
            <w:noWrap w:val="0"/>
            <w:vAlign w:val="center"/>
          </w:tcPr>
          <w:p w14:paraId="20725946">
            <w:pPr>
              <w:widowControl/>
              <w:spacing w:line="320" w:lineRule="exact"/>
              <w:rPr>
                <w:rFonts w:ascii="宋体" w:hAnsi="宋体"/>
              </w:rPr>
            </w:pPr>
            <w:r>
              <w:rPr>
                <w:rFonts w:ascii="宋体" w:hAnsi="宋体"/>
                <w:lang w:bidi="ar"/>
              </w:rPr>
              <w:t>行政办公用地(A1)，一类二类工业用地(M1M2)，道路与交通设施用地(S)，公用设施用地(U)，防护绿地(G2)</w:t>
            </w:r>
          </w:p>
        </w:tc>
      </w:tr>
      <w:tr w14:paraId="3192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19" w:type="dxa"/>
            <w:gridSpan w:val="2"/>
            <w:tcBorders>
              <w:top w:val="single" w:color="auto" w:sz="4" w:space="0"/>
              <w:left w:val="single" w:color="auto" w:sz="4" w:space="0"/>
              <w:bottom w:val="single" w:color="auto" w:sz="4" w:space="0"/>
              <w:right w:val="single" w:color="auto" w:sz="4" w:space="0"/>
            </w:tcBorders>
            <w:noWrap w:val="0"/>
            <w:vAlign w:val="center"/>
          </w:tcPr>
          <w:p w14:paraId="2367BAE6">
            <w:pPr>
              <w:widowControl/>
              <w:jc w:val="center"/>
              <w:rPr>
                <w:rFonts w:ascii="宋体" w:hAnsi="宋体"/>
                <w:lang w:bidi="ar"/>
              </w:rPr>
            </w:pPr>
            <w:r>
              <w:rPr>
                <w:rFonts w:ascii="宋体" w:hAnsi="宋体"/>
                <w:lang w:bidi="ar"/>
              </w:rPr>
              <w:t>完全</w:t>
            </w:r>
          </w:p>
          <w:p w14:paraId="1E2A1E88">
            <w:pPr>
              <w:widowControl/>
              <w:jc w:val="center"/>
              <w:rPr>
                <w:rFonts w:ascii="宋体" w:hAnsi="宋体"/>
              </w:rPr>
            </w:pPr>
            <w:r>
              <w:rPr>
                <w:rFonts w:ascii="宋体" w:hAnsi="宋体"/>
                <w:lang w:bidi="ar"/>
              </w:rPr>
              <w:t>兼容</w:t>
            </w:r>
          </w:p>
        </w:tc>
        <w:tc>
          <w:tcPr>
            <w:tcW w:w="1970" w:type="dxa"/>
            <w:tcBorders>
              <w:top w:val="single" w:color="auto" w:sz="4" w:space="0"/>
              <w:left w:val="single" w:color="auto" w:sz="4" w:space="0"/>
              <w:bottom w:val="single" w:color="auto" w:sz="4" w:space="0"/>
              <w:right w:val="single" w:color="auto" w:sz="4" w:space="0"/>
            </w:tcBorders>
            <w:noWrap w:val="0"/>
            <w:vAlign w:val="center"/>
          </w:tcPr>
          <w:p w14:paraId="655B2D71">
            <w:pPr>
              <w:widowControl/>
              <w:spacing w:line="320" w:lineRule="exact"/>
              <w:jc w:val="center"/>
              <w:rPr>
                <w:rFonts w:ascii="宋体" w:hAnsi="宋体"/>
              </w:rPr>
            </w:pPr>
            <w:r>
              <w:rPr>
                <w:rFonts w:ascii="宋体" w:hAnsi="宋体"/>
                <w:lang w:bidi="ar"/>
              </w:rPr>
              <w:t>-</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1418FAD2">
            <w:pPr>
              <w:widowControl/>
              <w:spacing w:line="320" w:lineRule="exact"/>
              <w:jc w:val="center"/>
              <w:rPr>
                <w:rFonts w:ascii="宋体" w:hAnsi="宋体"/>
              </w:rPr>
            </w:pPr>
            <w:r>
              <w:rPr>
                <w:rFonts w:ascii="宋体" w:hAnsi="宋体"/>
                <w:lang w:bidi="ar"/>
              </w:rPr>
              <w:t>一类工业用地(M1)</w:t>
            </w:r>
          </w:p>
        </w:tc>
        <w:tc>
          <w:tcPr>
            <w:tcW w:w="2022" w:type="dxa"/>
            <w:tcBorders>
              <w:top w:val="single" w:color="auto" w:sz="4" w:space="0"/>
              <w:left w:val="single" w:color="auto" w:sz="4" w:space="0"/>
              <w:bottom w:val="single" w:color="auto" w:sz="4" w:space="0"/>
              <w:right w:val="single" w:color="auto" w:sz="4" w:space="0"/>
            </w:tcBorders>
            <w:noWrap w:val="0"/>
            <w:vAlign w:val="center"/>
          </w:tcPr>
          <w:p w14:paraId="5385D1C2">
            <w:pPr>
              <w:widowControl/>
              <w:spacing w:line="320" w:lineRule="exact"/>
              <w:rPr>
                <w:rFonts w:ascii="宋体" w:hAnsi="宋体"/>
              </w:rPr>
            </w:pPr>
            <w:r>
              <w:rPr>
                <w:rFonts w:ascii="宋体" w:hAnsi="宋体"/>
                <w:lang w:bidi="ar"/>
              </w:rPr>
              <w:t>一类二类工业用地(M1M2)</w:t>
            </w: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E4DA324">
            <w:pPr>
              <w:widowControl/>
              <w:spacing w:line="320" w:lineRule="exact"/>
              <w:jc w:val="center"/>
              <w:rPr>
                <w:rFonts w:ascii="宋体" w:hAnsi="宋体"/>
              </w:rPr>
            </w:pPr>
            <w:r>
              <w:rPr>
                <w:rFonts w:ascii="宋体" w:hAnsi="宋体"/>
                <w:lang w:bidi="ar"/>
              </w:rPr>
              <w:t>-</w:t>
            </w:r>
          </w:p>
        </w:tc>
      </w:tr>
      <w:tr w14:paraId="0735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1" w:hRule="atLeast"/>
          <w:jc w:val="center"/>
        </w:trPr>
        <w:tc>
          <w:tcPr>
            <w:tcW w:w="919" w:type="dxa"/>
            <w:gridSpan w:val="2"/>
            <w:tcBorders>
              <w:top w:val="single" w:color="auto" w:sz="4" w:space="0"/>
              <w:left w:val="single" w:color="auto" w:sz="4" w:space="0"/>
              <w:bottom w:val="single" w:color="auto" w:sz="4" w:space="0"/>
              <w:right w:val="single" w:color="auto" w:sz="4" w:space="0"/>
            </w:tcBorders>
            <w:noWrap w:val="0"/>
            <w:vAlign w:val="center"/>
          </w:tcPr>
          <w:p w14:paraId="063DD06E">
            <w:pPr>
              <w:widowControl/>
              <w:jc w:val="center"/>
              <w:rPr>
                <w:rFonts w:ascii="宋体" w:hAnsi="宋体"/>
                <w:lang w:bidi="ar"/>
              </w:rPr>
            </w:pPr>
            <w:r>
              <w:rPr>
                <w:rFonts w:ascii="宋体" w:hAnsi="宋体"/>
                <w:lang w:bidi="ar"/>
              </w:rPr>
              <w:t>禁止</w:t>
            </w:r>
          </w:p>
          <w:p w14:paraId="21FC976B">
            <w:pPr>
              <w:widowControl/>
              <w:jc w:val="center"/>
              <w:rPr>
                <w:rFonts w:ascii="宋体" w:hAnsi="宋体"/>
              </w:rPr>
            </w:pPr>
            <w:r>
              <w:rPr>
                <w:rFonts w:ascii="宋体" w:hAnsi="宋体"/>
                <w:lang w:bidi="ar"/>
              </w:rPr>
              <w:t>兼容</w:t>
            </w:r>
          </w:p>
        </w:tc>
        <w:tc>
          <w:tcPr>
            <w:tcW w:w="1970" w:type="dxa"/>
            <w:tcBorders>
              <w:top w:val="single" w:color="auto" w:sz="4" w:space="0"/>
              <w:left w:val="single" w:color="auto" w:sz="4" w:space="0"/>
              <w:bottom w:val="single" w:color="auto" w:sz="4" w:space="0"/>
              <w:right w:val="single" w:color="auto" w:sz="4" w:space="0"/>
            </w:tcBorders>
            <w:noWrap w:val="0"/>
            <w:vAlign w:val="center"/>
          </w:tcPr>
          <w:p w14:paraId="48880746">
            <w:pPr>
              <w:widowControl/>
              <w:spacing w:line="320" w:lineRule="exact"/>
              <w:rPr>
                <w:rFonts w:ascii="宋体" w:hAnsi="宋体"/>
              </w:rPr>
            </w:pPr>
            <w:r>
              <w:rPr>
                <w:rFonts w:ascii="宋体" w:hAnsi="宋体"/>
                <w:lang w:bidi="ar"/>
              </w:rPr>
              <w:t>居住用地(R)，商业用地(B1)，商务用地(B2)，娱乐康体用地(B3)，二类三类工业用地(M2M3)，二类三类物流仓储用地(W2W3)</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45D72C20">
            <w:pPr>
              <w:widowControl/>
              <w:spacing w:line="320" w:lineRule="exact"/>
              <w:rPr>
                <w:rFonts w:ascii="宋体" w:hAnsi="宋体"/>
              </w:rPr>
            </w:pPr>
            <w:r>
              <w:rPr>
                <w:rFonts w:ascii="宋体" w:hAnsi="宋体"/>
                <w:lang w:bidi="ar"/>
              </w:rPr>
              <w:t>居住用地(R)，除行政办公用地外的公共管理与公共服务设施用地(A2-A9)，商业用地(B1)，商务用地(B2)，娱乐康体用地(B3)，三类物流仓储用地(W3)</w:t>
            </w:r>
          </w:p>
        </w:tc>
        <w:tc>
          <w:tcPr>
            <w:tcW w:w="2022" w:type="dxa"/>
            <w:tcBorders>
              <w:top w:val="single" w:color="auto" w:sz="4" w:space="0"/>
              <w:left w:val="single" w:color="auto" w:sz="4" w:space="0"/>
              <w:bottom w:val="single" w:color="auto" w:sz="4" w:space="0"/>
              <w:right w:val="single" w:color="auto" w:sz="4" w:space="0"/>
            </w:tcBorders>
            <w:noWrap w:val="0"/>
            <w:vAlign w:val="center"/>
          </w:tcPr>
          <w:p w14:paraId="0E6A8158">
            <w:pPr>
              <w:widowControl/>
              <w:spacing w:line="320" w:lineRule="exact"/>
              <w:rPr>
                <w:rFonts w:ascii="宋体" w:hAnsi="宋体"/>
              </w:rPr>
            </w:pPr>
            <w:r>
              <w:rPr>
                <w:rFonts w:ascii="宋体" w:hAnsi="宋体"/>
                <w:lang w:bidi="ar"/>
              </w:rPr>
              <w:t>居住用地(R)，除行政办公用地外的公共管理与公共服务设施用地(A2-A9)，商业服务业设施用地(B)，三类物流仓储用地(W3)</w:t>
            </w:r>
          </w:p>
        </w:tc>
        <w:tc>
          <w:tcPr>
            <w:tcW w:w="1872" w:type="dxa"/>
            <w:tcBorders>
              <w:top w:val="single" w:color="auto" w:sz="4" w:space="0"/>
              <w:left w:val="single" w:color="auto" w:sz="4" w:space="0"/>
              <w:bottom w:val="single" w:color="auto" w:sz="4" w:space="0"/>
              <w:right w:val="single" w:color="auto" w:sz="4" w:space="0"/>
            </w:tcBorders>
            <w:noWrap w:val="0"/>
            <w:vAlign w:val="center"/>
          </w:tcPr>
          <w:p w14:paraId="3B3287B8">
            <w:pPr>
              <w:widowControl/>
              <w:spacing w:line="320" w:lineRule="exact"/>
              <w:rPr>
                <w:rFonts w:ascii="宋体" w:hAnsi="宋体"/>
              </w:rPr>
            </w:pPr>
            <w:r>
              <w:rPr>
                <w:rFonts w:ascii="宋体" w:hAnsi="宋体"/>
                <w:lang w:bidi="ar"/>
              </w:rPr>
              <w:t>居住用地(R)，除行政办公用地外的公共管理与公共服务设施用地(A2-A9)，商业用地(B1)，商务用地(B2)，娱乐康体用地(B3)，三类工业用地(M3)</w:t>
            </w:r>
          </w:p>
        </w:tc>
      </w:tr>
    </w:tbl>
    <w:p w14:paraId="6B03AEBE">
      <w:pPr>
        <w:tabs>
          <w:tab w:val="left" w:pos="1418"/>
        </w:tabs>
        <w:spacing w:before="120" w:beforeLines="50" w:line="400" w:lineRule="exact"/>
        <w:ind w:firstLine="420" w:firstLineChars="200"/>
        <w:rPr>
          <w:rFonts w:ascii="宋体" w:hAnsi="宋体"/>
          <w:bCs/>
          <w:szCs w:val="21"/>
        </w:rPr>
      </w:pPr>
      <w:r>
        <w:rPr>
          <w:rFonts w:ascii="宋体" w:hAnsi="宋体"/>
          <w:bCs/>
          <w:szCs w:val="21"/>
          <w:lang w:bidi="ar"/>
        </w:rPr>
        <w:t>注：（1）工业用地(M)兼容绿地与广场用地(G)不得超过总用地规模的20%；属于创意产业园区的工业用地，兼容科研用地(A35)和文化设施用地(A2)不得超过地块总用地规模的30%；（2）物流仓储用地(W)兼容绿地与广场用地(G)不得超过总用地规模的20%；属于物流园区的仓储用地，兼容公共管理与公共服务设施用地(A)、商业服务业设施用地(B)的各项用地总和不得超过地块总用地规模的30%。</w:t>
      </w:r>
    </w:p>
    <w:p w14:paraId="5F3AE659">
      <w:pPr>
        <w:tabs>
          <w:tab w:val="left" w:pos="1418"/>
        </w:tabs>
        <w:spacing w:line="590" w:lineRule="exact"/>
        <w:ind w:firstLine="643" w:firstLineChars="200"/>
        <w:rPr>
          <w:rFonts w:hint="eastAsia" w:ascii="仿宋_GB2312" w:eastAsia="仿宋_GB2312"/>
          <w:b/>
          <w:bCs/>
          <w:sz w:val="32"/>
          <w:szCs w:val="32"/>
        </w:rPr>
      </w:pPr>
      <w:r>
        <w:rPr>
          <w:rFonts w:hint="eastAsia" w:ascii="仿宋_GB2312" w:eastAsia="仿宋_GB2312"/>
          <w:b/>
          <w:bCs/>
          <w:sz w:val="32"/>
          <w:szCs w:val="32"/>
          <w:lang w:bidi="ar"/>
        </w:rPr>
        <w:t>补充说明：</w:t>
      </w:r>
    </w:p>
    <w:p w14:paraId="7B1B07F6">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（1）名词解释</w:t>
      </w:r>
    </w:p>
    <w:p w14:paraId="5CA85140">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部分兼容”是指在地块原规划用地性质上，混合其他单种性质用地的用地规模比例不超过30%，或混合其他两种及两种以上性质用地的用地规模比例之和不超过40%。表中有单独注释规定的，按其规定执行。被兼容的功能无法进行用地功能分区的，以上兼容比例按建筑规模计算。同一街坊内相邻的同性质用地，可合并考虑兼容比例。</w:t>
      </w:r>
    </w:p>
    <w:p w14:paraId="5327B832">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“完全兼容”是指在地块原规划用地性质上，混合其他一种或几种性质用地的用地规模比例可达100%。</w:t>
      </w:r>
    </w:p>
    <w:p w14:paraId="7B5A800D">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“禁止兼容”是指在地块原规划用地性质上不允许混合或转变为其他用地性质。</w:t>
      </w:r>
    </w:p>
    <w:p w14:paraId="546DC5B1">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（2）配套设施补充说明</w:t>
      </w:r>
    </w:p>
    <w:p w14:paraId="65C2A17D">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规划用地上建设相应的配套设施，不属于兼容。配套设施用地（或建筑）应按相关要求执行，主要是指：</w:t>
      </w:r>
    </w:p>
    <w:p w14:paraId="17C3BAE6">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居住用地(R)配套建设的公共服务设施 (居住小区及小区级以下的教育、医疗卫生、文化体育、商业服务、金融邮电、社区服务、市政公用、行政管理等)标准按照居住区规划设计规范执行。</w:t>
      </w:r>
    </w:p>
    <w:p w14:paraId="373457AC">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工业用地(M)、物流仓储用地(W)、批发市场用地(B12)配套的行政办公及生活服务设施用地面积不得超过总用地面积的7%。</w:t>
      </w:r>
    </w:p>
    <w:p w14:paraId="1149F070">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公园绿地(G1) 、防护绿地(G2)的配套设施应符合公园、绿地等相关设计规范要求。</w:t>
      </w:r>
    </w:p>
    <w:p w14:paraId="3423976B">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（3）地下空间兼容</w:t>
      </w:r>
    </w:p>
    <w:p w14:paraId="08EE56B6">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地下兼容人防工程、交通、市政、商业、公共服务、工业仓储的，应符合地下空间开发利用管理和相关专项规划要求。地下空间禁止兼容住宅、社会福利设施、学校。</w:t>
      </w:r>
    </w:p>
    <w:p w14:paraId="39745A04">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公园绿地、防护绿地在征得园林部门同意的情况下，可以地下空间复合利用的方式有条件兼容公共汽车首末站(S41)、社会停车场用地（S42）、开闭所或配电房（U12）、雨水或污水泵站（U21）、垃圾转运站或公厕（U22）等，露出地面的建构筑物应实施立体绿化设计。</w:t>
      </w:r>
    </w:p>
    <w:p w14:paraId="1436BD2F">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（4）其他兼容性要求</w:t>
      </w:r>
    </w:p>
    <w:p w14:paraId="600D1B83">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城市道路、铁路的下方地面空间，有条件允许兼容绿地、市政设施。</w:t>
      </w:r>
    </w:p>
    <w:p w14:paraId="6F0EA627">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（5）关于本规定的应用</w:t>
      </w:r>
    </w:p>
    <w:p w14:paraId="0D49D929">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“完全兼容”以及“部分兼容”中“允许”的用地性质，在满足兼容性控制要求的相关条件后，可直接应用于规划管理。</w:t>
      </w:r>
    </w:p>
    <w:p w14:paraId="4E6EFE3D">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“部分兼容”中有“有条件允许”的用地性质，除满足兼容性控制要求的相关条件外，还须通过规划论证等进一步明确兼容功能的布局、规模、交通、环境及景观等方面具体要求，才能应用于规划管理。</w:t>
      </w:r>
    </w:p>
    <w:p w14:paraId="004FA841">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兼容性控制中未涉及的用地性质，其规划兼容的判断须单独进行规划论证。</w:t>
      </w:r>
    </w:p>
    <w:p w14:paraId="6DCD328A">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进行规划兼容的地块，应予以规范化的明确表达。在规划论证、规划设计条件中，应按用地或建筑规模递减顺序依次列明地块的用地性质构成，并对兼容后各类用地规模或建筑规模予以明确，有其他附加要求的，应在特殊要求中提出。</w:t>
      </w:r>
    </w:p>
    <w:p w14:paraId="72EABBB8">
      <w:pPr>
        <w:widowControl/>
        <w:spacing w:line="590" w:lineRule="exact"/>
        <w:jc w:val="left"/>
        <w:rPr>
          <w:rFonts w:eastAsia="黑体"/>
          <w:sz w:val="32"/>
          <w:szCs w:val="32"/>
        </w:rPr>
      </w:pPr>
      <w:r>
        <w:rPr>
          <w:rFonts w:hint="eastAsia" w:ascii="仿宋_GB2312" w:eastAsia="仿宋_GB2312"/>
          <w:sz w:val="32"/>
          <w:szCs w:val="32"/>
        </w:rPr>
        <w:br w:type="page"/>
      </w:r>
      <w:r>
        <w:rPr>
          <w:rFonts w:eastAsia="黑体"/>
          <w:sz w:val="32"/>
          <w:szCs w:val="32"/>
          <w:lang w:bidi="ar"/>
        </w:rPr>
        <w:t>附录3  附图</w:t>
      </w:r>
    </w:p>
    <w:p w14:paraId="1111A7C8">
      <w:pPr>
        <w:rPr>
          <w:rFonts w:eastAsia="黑体"/>
          <w:sz w:val="28"/>
          <w:szCs w:val="28"/>
          <w:lang w:bidi="ar"/>
        </w:rPr>
      </w:pPr>
    </w:p>
    <w:p w14:paraId="4681FD5D">
      <w:pPr>
        <w:rPr>
          <w:rFonts w:eastAsia="黑体"/>
          <w:sz w:val="28"/>
          <w:szCs w:val="28"/>
          <w:lang w:bidi="ar"/>
        </w:rPr>
      </w:pPr>
    </w:p>
    <w:p w14:paraId="3892AE33">
      <w:pPr>
        <w:rPr>
          <w:rFonts w:eastAsia="黑体"/>
          <w:sz w:val="28"/>
          <w:szCs w:val="28"/>
        </w:rPr>
      </w:pPr>
      <w:r>
        <w:rPr>
          <w:rFonts w:eastAsia="黑体"/>
          <w:sz w:val="28"/>
          <w:szCs w:val="28"/>
          <w:lang w:bidi="ar"/>
        </w:rPr>
        <w:t>附图4—1</w:t>
      </w:r>
    </w:p>
    <w:p w14:paraId="05E3A9D5">
      <w:pPr>
        <w:autoSpaceDE w:val="0"/>
        <w:autoSpaceDN w:val="0"/>
        <w:adjustRightInd w:val="0"/>
        <w:jc w:val="center"/>
        <w:rPr>
          <w:rFonts w:eastAsia="仿宋_GB2312"/>
          <w:b/>
          <w:szCs w:val="20"/>
        </w:rPr>
      </w:pPr>
    </w:p>
    <w:p w14:paraId="292DF698">
      <w:pPr>
        <w:autoSpaceDE w:val="0"/>
        <w:autoSpaceDN w:val="0"/>
        <w:adjustRightInd w:val="0"/>
        <w:jc w:val="center"/>
        <w:rPr>
          <w:rFonts w:eastAsia="仿宋_GB2312"/>
          <w:b/>
          <w:szCs w:val="20"/>
        </w:rPr>
      </w:pPr>
    </w:p>
    <w:p w14:paraId="7EEF96F7">
      <w:pPr>
        <w:autoSpaceDE w:val="0"/>
        <w:autoSpaceDN w:val="0"/>
        <w:adjustRightInd w:val="0"/>
        <w:jc w:val="center"/>
        <w:rPr>
          <w:rFonts w:eastAsia="黑体"/>
          <w:sz w:val="28"/>
          <w:szCs w:val="28"/>
          <w:lang w:bidi="ar"/>
        </w:rPr>
      </w:pPr>
      <w:r>
        <w:rPr>
          <w:rFonts w:eastAsia="黑体"/>
          <w:sz w:val="28"/>
          <w:szCs w:val="28"/>
          <w:lang w:bidi="ar"/>
        </w:rPr>
        <w:t>建筑高度20米以下（含20米）条式建筑间距示意图</w:t>
      </w:r>
    </w:p>
    <w:p w14:paraId="60A6556E">
      <w:pPr>
        <w:autoSpaceDE w:val="0"/>
        <w:autoSpaceDN w:val="0"/>
        <w:adjustRightInd w:val="0"/>
        <w:jc w:val="center"/>
        <w:rPr>
          <w:rFonts w:eastAsia="黑体"/>
          <w:b/>
          <w:sz w:val="28"/>
          <w:szCs w:val="28"/>
        </w:rPr>
      </w:pPr>
    </w:p>
    <w:p w14:paraId="5C103C65">
      <w:pPr>
        <w:jc w:val="center"/>
        <w:rPr>
          <w:rFonts w:eastAsia="仿宋_GB2312"/>
          <w:sz w:val="32"/>
          <w:szCs w:val="20"/>
        </w:rPr>
      </w:pPr>
      <w:r>
        <w:rPr>
          <w:rFonts w:eastAsia="仿宋_GB2312"/>
          <w:sz w:val="32"/>
          <w:szCs w:val="20"/>
          <w:lang w:bidi="ar"/>
        </w:rPr>
        <w:drawing>
          <wp:inline distT="0" distB="0" distL="114300" distR="114300">
            <wp:extent cx="4524375" cy="4419600"/>
            <wp:effectExtent l="0" t="0" r="190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rcRect l="16191" t="16095" r="14914" b="21637"/>
                    <a:stretch>
                      <a:fillRect/>
                    </a:stretch>
                  </pic:blipFill>
                  <pic:spPr>
                    <a:xfrm>
                      <a:off x="0" y="0"/>
                      <a:ext cx="4524375" cy="4419600"/>
                    </a:xfrm>
                    <a:prstGeom prst="rect">
                      <a:avLst/>
                    </a:prstGeom>
                    <a:noFill/>
                    <a:ln>
                      <a:noFill/>
                    </a:ln>
                  </pic:spPr>
                </pic:pic>
              </a:graphicData>
            </a:graphic>
          </wp:inline>
        </w:drawing>
      </w:r>
    </w:p>
    <w:p w14:paraId="5A8411F9">
      <w:pPr>
        <w:jc w:val="center"/>
        <w:rPr>
          <w:rFonts w:eastAsia="楷体_GB2312"/>
          <w:lang w:bidi="ar"/>
        </w:rPr>
      </w:pPr>
    </w:p>
    <w:p w14:paraId="1403C4C8">
      <w:pPr>
        <w:ind w:firstLine="840" w:firstLineChars="400"/>
        <w:jc w:val="left"/>
        <w:rPr>
          <w:rFonts w:ascii="宋体" w:hAnsi="宋体"/>
          <w:lang w:bidi="ar"/>
        </w:rPr>
      </w:pPr>
      <w:r>
        <w:rPr>
          <w:rFonts w:ascii="宋体" w:hAnsi="宋体"/>
          <w:lang w:bidi="ar"/>
        </w:rPr>
        <w:t>H-建筑高度  D1-纵墙面之间间距  D2-山墙面之间间距  D3-纵墙面和山墙面之间间距</w:t>
      </w:r>
    </w:p>
    <w:p w14:paraId="6CAEE1CB">
      <w:pPr>
        <w:ind w:firstLine="840" w:firstLineChars="400"/>
        <w:jc w:val="left"/>
        <w:rPr>
          <w:rFonts w:ascii="宋体" w:hAnsi="宋体"/>
          <w:lang w:bidi="ar"/>
        </w:rPr>
      </w:pPr>
      <w:r>
        <w:rPr>
          <w:rFonts w:ascii="宋体" w:hAnsi="宋体"/>
          <w:lang w:bidi="ar"/>
        </w:rPr>
        <w:t>当H≤20m时，D1≥1.2H;D2≥8m; D3≥14m</w:t>
      </w:r>
    </w:p>
    <w:p w14:paraId="0BA1FF61">
      <w:pPr>
        <w:spacing w:after="100" w:afterAutospacing="1" w:line="360" w:lineRule="exact"/>
        <w:ind w:firstLine="480"/>
        <w:jc w:val="center"/>
        <w:rPr>
          <w:rFonts w:eastAsia="仿宋_GB2312"/>
          <w:szCs w:val="20"/>
        </w:rPr>
      </w:pPr>
    </w:p>
    <w:p w14:paraId="26C9F08F">
      <w:pPr>
        <w:spacing w:line="600" w:lineRule="exact"/>
        <w:rPr>
          <w:rFonts w:eastAsia="黑体"/>
          <w:b/>
          <w:sz w:val="28"/>
          <w:szCs w:val="28"/>
        </w:rPr>
      </w:pPr>
      <w:r>
        <w:rPr>
          <w:rFonts w:eastAsia="仿宋_GB2312"/>
          <w:b/>
          <w:szCs w:val="20"/>
          <w:lang w:bidi="ar"/>
        </w:rPr>
        <w:br w:type="page"/>
      </w:r>
      <w:r>
        <w:rPr>
          <w:rFonts w:eastAsia="黑体"/>
          <w:sz w:val="28"/>
          <w:szCs w:val="28"/>
          <w:lang w:bidi="ar"/>
        </w:rPr>
        <w:t>附图4—2</w:t>
      </w:r>
    </w:p>
    <w:p w14:paraId="4ED7F463">
      <w:pPr>
        <w:autoSpaceDE w:val="0"/>
        <w:autoSpaceDN w:val="0"/>
        <w:adjustRightInd w:val="0"/>
        <w:jc w:val="center"/>
        <w:rPr>
          <w:rFonts w:eastAsia="黑体"/>
          <w:sz w:val="28"/>
          <w:szCs w:val="28"/>
          <w:lang w:bidi="ar"/>
        </w:rPr>
      </w:pPr>
    </w:p>
    <w:p w14:paraId="7DD220E4">
      <w:pPr>
        <w:autoSpaceDE w:val="0"/>
        <w:autoSpaceDN w:val="0"/>
        <w:adjustRightInd w:val="0"/>
        <w:jc w:val="center"/>
        <w:rPr>
          <w:rFonts w:eastAsia="黑体"/>
          <w:sz w:val="28"/>
          <w:szCs w:val="28"/>
          <w:lang w:bidi="ar"/>
        </w:rPr>
      </w:pPr>
    </w:p>
    <w:p w14:paraId="624044F8">
      <w:pPr>
        <w:autoSpaceDE w:val="0"/>
        <w:autoSpaceDN w:val="0"/>
        <w:adjustRightInd w:val="0"/>
        <w:jc w:val="center"/>
        <w:rPr>
          <w:rFonts w:eastAsia="黑体"/>
          <w:sz w:val="28"/>
          <w:szCs w:val="28"/>
          <w:lang w:bidi="ar"/>
        </w:rPr>
      </w:pPr>
      <w:r>
        <w:rPr>
          <w:rFonts w:eastAsia="黑体"/>
          <w:sz w:val="28"/>
          <w:szCs w:val="28"/>
          <w:lang w:bidi="ar"/>
        </w:rPr>
        <w:t>建筑高度20米以上（不含20米）条式建筑间距示意图</w:t>
      </w:r>
    </w:p>
    <w:p w14:paraId="0484DA76">
      <w:pPr>
        <w:autoSpaceDE w:val="0"/>
        <w:autoSpaceDN w:val="0"/>
        <w:adjustRightInd w:val="0"/>
        <w:jc w:val="center"/>
        <w:rPr>
          <w:rFonts w:eastAsia="仿宋_GB2312"/>
          <w:b/>
          <w:szCs w:val="20"/>
        </w:rPr>
      </w:pPr>
    </w:p>
    <w:p w14:paraId="56A1C17C">
      <w:pPr>
        <w:autoSpaceDE w:val="0"/>
        <w:autoSpaceDN w:val="0"/>
        <w:adjustRightInd w:val="0"/>
        <w:jc w:val="center"/>
        <w:rPr>
          <w:rFonts w:eastAsia="仿宋_GB2312"/>
          <w:b/>
          <w:szCs w:val="20"/>
        </w:rPr>
      </w:pPr>
    </w:p>
    <w:p w14:paraId="12C1F524">
      <w:pPr>
        <w:spacing w:after="100" w:afterAutospacing="1"/>
        <w:jc w:val="center"/>
        <w:rPr>
          <w:rFonts w:eastAsia="仿宋_GB2312"/>
          <w:szCs w:val="20"/>
        </w:rPr>
      </w:pPr>
      <w:r>
        <w:rPr>
          <w:rFonts w:eastAsia="仿宋_GB2312"/>
          <w:szCs w:val="20"/>
          <w:lang w:bidi="ar"/>
        </w:rPr>
        <w:drawing>
          <wp:inline distT="0" distB="0" distL="114300" distR="114300">
            <wp:extent cx="4867275" cy="4343400"/>
            <wp:effectExtent l="0" t="0" r="9525"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1"/>
                    <a:srcRect l="10292" t="5835" r="11134" b="26701"/>
                    <a:stretch>
                      <a:fillRect/>
                    </a:stretch>
                  </pic:blipFill>
                  <pic:spPr>
                    <a:xfrm>
                      <a:off x="0" y="0"/>
                      <a:ext cx="4867275" cy="4343400"/>
                    </a:xfrm>
                    <a:prstGeom prst="rect">
                      <a:avLst/>
                    </a:prstGeom>
                    <a:noFill/>
                    <a:ln>
                      <a:noFill/>
                    </a:ln>
                  </pic:spPr>
                </pic:pic>
              </a:graphicData>
            </a:graphic>
          </wp:inline>
        </w:drawing>
      </w:r>
    </w:p>
    <w:p w14:paraId="719B31AE">
      <w:pPr>
        <w:ind w:firstLine="840" w:firstLineChars="400"/>
        <w:jc w:val="left"/>
        <w:rPr>
          <w:rFonts w:ascii="宋体" w:hAnsi="宋体"/>
        </w:rPr>
      </w:pPr>
      <w:r>
        <w:rPr>
          <w:rFonts w:ascii="宋体" w:hAnsi="宋体"/>
          <w:lang w:bidi="ar"/>
        </w:rPr>
        <w:t xml:space="preserve">H-建筑高度  D1-纵墙面之间间距  D2-山墙面之间间距  </w:t>
      </w:r>
    </w:p>
    <w:p w14:paraId="64CAEB34">
      <w:pPr>
        <w:ind w:firstLine="840" w:firstLineChars="400"/>
        <w:jc w:val="left"/>
        <w:rPr>
          <w:rFonts w:ascii="宋体" w:hAnsi="宋体"/>
        </w:rPr>
      </w:pPr>
      <w:r>
        <w:rPr>
          <w:rFonts w:ascii="宋体" w:hAnsi="宋体"/>
          <w:lang w:bidi="ar"/>
        </w:rPr>
        <w:t>D3-纵墙面和南北向山墙面之间间距  D4-纵墙面和东西向山墙面之间间距</w:t>
      </w:r>
    </w:p>
    <w:p w14:paraId="25770849">
      <w:pPr>
        <w:ind w:firstLine="840" w:firstLineChars="400"/>
        <w:jc w:val="left"/>
        <w:rPr>
          <w:rFonts w:ascii="宋体" w:hAnsi="宋体"/>
        </w:rPr>
      </w:pPr>
      <w:r>
        <w:rPr>
          <w:rFonts w:ascii="宋体" w:hAnsi="宋体"/>
          <w:lang w:bidi="ar"/>
        </w:rPr>
        <w:t xml:space="preserve">当H＞20m时，20m×1.2+(H-20)×0.4≤D1≤50m; </w:t>
      </w:r>
    </w:p>
    <w:p w14:paraId="79C03D90">
      <w:pPr>
        <w:ind w:firstLine="840" w:firstLineChars="400"/>
        <w:jc w:val="left"/>
        <w:rPr>
          <w:rFonts w:ascii="宋体" w:hAnsi="宋体"/>
          <w:lang w:bidi="ar"/>
        </w:rPr>
      </w:pPr>
      <w:r>
        <w:rPr>
          <w:rFonts w:ascii="宋体" w:hAnsi="宋体"/>
          <w:lang w:bidi="ar"/>
        </w:rPr>
        <w:t>D2≥15m; D3≥20m; D4≥18m</w:t>
      </w:r>
    </w:p>
    <w:p w14:paraId="6400E702">
      <w:pPr>
        <w:spacing w:line="500" w:lineRule="exact"/>
        <w:jc w:val="left"/>
        <w:rPr>
          <w:rFonts w:eastAsia="仿宋_GB2312"/>
          <w:b/>
          <w:szCs w:val="20"/>
        </w:rPr>
      </w:pPr>
      <w:r>
        <w:rPr>
          <w:rFonts w:eastAsia="仿宋"/>
          <w:lang w:bidi="ar"/>
        </w:rPr>
        <w:br w:type="page"/>
      </w:r>
      <w:r>
        <w:rPr>
          <w:rFonts w:eastAsia="黑体"/>
          <w:sz w:val="28"/>
          <w:szCs w:val="28"/>
          <w:lang w:bidi="ar"/>
        </w:rPr>
        <w:t>附图4—3</w:t>
      </w:r>
    </w:p>
    <w:p w14:paraId="44B1EFFC">
      <w:pPr>
        <w:rPr>
          <w:rFonts w:eastAsia="仿宋_GB2312"/>
          <w:b/>
          <w:szCs w:val="20"/>
        </w:rPr>
      </w:pPr>
    </w:p>
    <w:p w14:paraId="58F31031">
      <w:pPr>
        <w:rPr>
          <w:rFonts w:eastAsia="仿宋_GB2312"/>
          <w:b/>
          <w:szCs w:val="20"/>
        </w:rPr>
      </w:pPr>
    </w:p>
    <w:p w14:paraId="1F26F017">
      <w:pPr>
        <w:autoSpaceDE w:val="0"/>
        <w:autoSpaceDN w:val="0"/>
        <w:adjustRightInd w:val="0"/>
        <w:jc w:val="center"/>
        <w:rPr>
          <w:rFonts w:eastAsia="黑体"/>
          <w:sz w:val="28"/>
          <w:szCs w:val="28"/>
          <w:lang w:bidi="ar"/>
        </w:rPr>
      </w:pPr>
      <w:r>
        <w:rPr>
          <w:rFonts w:eastAsia="黑体"/>
          <w:sz w:val="28"/>
          <w:szCs w:val="28"/>
          <w:lang w:bidi="ar"/>
        </w:rPr>
        <w:t>建筑高度20米以上的条式建筑与20米以下的条式建筑间距示意图</w:t>
      </w:r>
    </w:p>
    <w:p w14:paraId="72586290">
      <w:pPr>
        <w:autoSpaceDE w:val="0"/>
        <w:autoSpaceDN w:val="0"/>
        <w:adjustRightInd w:val="0"/>
        <w:jc w:val="center"/>
        <w:rPr>
          <w:rFonts w:eastAsia="黑体"/>
          <w:sz w:val="28"/>
          <w:szCs w:val="28"/>
          <w:lang w:bidi="ar"/>
        </w:rPr>
      </w:pPr>
    </w:p>
    <w:p w14:paraId="6B3B1E3E">
      <w:pPr>
        <w:spacing w:after="100" w:afterAutospacing="1"/>
        <w:jc w:val="center"/>
        <w:rPr>
          <w:rFonts w:eastAsia="仿宋_GB2312"/>
          <w:szCs w:val="20"/>
        </w:rPr>
      </w:pPr>
      <w:r>
        <w:rPr>
          <w:rFonts w:eastAsia="仿宋_GB2312"/>
          <w:szCs w:val="20"/>
          <w:lang w:bidi="ar"/>
        </w:rPr>
        <w:drawing>
          <wp:inline distT="0" distB="0" distL="114300" distR="114300">
            <wp:extent cx="4629150" cy="2295525"/>
            <wp:effectExtent l="0" t="0" r="3810" b="571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rcRect l="4581" t="10472" r="8246" b="14264"/>
                    <a:stretch>
                      <a:fillRect/>
                    </a:stretch>
                  </pic:blipFill>
                  <pic:spPr>
                    <a:xfrm>
                      <a:off x="0" y="0"/>
                      <a:ext cx="4629150" cy="2295525"/>
                    </a:xfrm>
                    <a:prstGeom prst="rect">
                      <a:avLst/>
                    </a:prstGeom>
                    <a:noFill/>
                    <a:ln>
                      <a:noFill/>
                    </a:ln>
                  </pic:spPr>
                </pic:pic>
              </a:graphicData>
            </a:graphic>
          </wp:inline>
        </w:drawing>
      </w:r>
    </w:p>
    <w:p w14:paraId="597A71DA">
      <w:pPr>
        <w:ind w:firstLine="840" w:firstLineChars="400"/>
        <w:jc w:val="left"/>
        <w:rPr>
          <w:rFonts w:ascii="宋体" w:hAnsi="宋体"/>
        </w:rPr>
      </w:pPr>
      <w:r>
        <w:rPr>
          <w:rFonts w:ascii="宋体" w:hAnsi="宋体"/>
          <w:lang w:bidi="ar"/>
        </w:rPr>
        <w:t>H1、H2-建筑高度</w:t>
      </w:r>
    </w:p>
    <w:p w14:paraId="2AC034D2">
      <w:pPr>
        <w:ind w:firstLine="840" w:firstLineChars="400"/>
        <w:jc w:val="left"/>
        <w:rPr>
          <w:rFonts w:ascii="宋体" w:hAnsi="宋体"/>
        </w:rPr>
      </w:pPr>
      <w:r>
        <w:rPr>
          <w:rFonts w:ascii="宋体" w:hAnsi="宋体"/>
          <w:lang w:bidi="ar"/>
        </w:rPr>
        <w:t>D1-建筑高度20m以上建筑纵墙面与南侧20m以下建筑山墙面之间间距</w:t>
      </w:r>
    </w:p>
    <w:p w14:paraId="78484F85">
      <w:pPr>
        <w:ind w:firstLine="840" w:firstLineChars="400"/>
        <w:jc w:val="left"/>
        <w:rPr>
          <w:rFonts w:ascii="宋体" w:hAnsi="宋体"/>
        </w:rPr>
      </w:pPr>
      <w:r>
        <w:rPr>
          <w:rFonts w:ascii="宋体" w:hAnsi="宋体"/>
          <w:lang w:bidi="ar"/>
        </w:rPr>
        <w:t>D2-建筑高度20m以上建筑纵墙面与东、西、北方向20m以下建筑山墙面之间间距</w:t>
      </w:r>
    </w:p>
    <w:p w14:paraId="794685AD">
      <w:pPr>
        <w:ind w:firstLine="840" w:firstLineChars="400"/>
        <w:jc w:val="left"/>
        <w:rPr>
          <w:rFonts w:ascii="宋体" w:hAnsi="宋体"/>
        </w:rPr>
      </w:pPr>
      <w:r>
        <w:rPr>
          <w:rFonts w:ascii="宋体" w:hAnsi="宋体"/>
          <w:lang w:bidi="ar"/>
        </w:rPr>
        <w:t>D3-建筑高度20m以上建筑山墙面与20m以下建筑山墙面之间间距</w:t>
      </w:r>
    </w:p>
    <w:p w14:paraId="0FCF4CE3">
      <w:pPr>
        <w:ind w:firstLine="840" w:firstLineChars="400"/>
        <w:jc w:val="left"/>
        <w:rPr>
          <w:rFonts w:ascii="宋体" w:hAnsi="宋体"/>
        </w:rPr>
      </w:pPr>
      <w:r>
        <w:rPr>
          <w:rFonts w:ascii="宋体" w:hAnsi="宋体"/>
          <w:lang w:bidi="ar"/>
        </w:rPr>
        <w:t>当H1＞20m、H2≤20m时，D1≥15m; D2≥18m; D3≥14m</w:t>
      </w:r>
    </w:p>
    <w:p w14:paraId="2019EC43">
      <w:pPr>
        <w:autoSpaceDE w:val="0"/>
        <w:autoSpaceDN w:val="0"/>
        <w:adjustRightInd w:val="0"/>
        <w:jc w:val="center"/>
        <w:rPr>
          <w:rFonts w:ascii="宋体" w:hAnsi="宋体"/>
          <w:b/>
          <w:szCs w:val="20"/>
        </w:rPr>
      </w:pPr>
    </w:p>
    <w:p w14:paraId="204B245E">
      <w:pPr>
        <w:autoSpaceDE w:val="0"/>
        <w:autoSpaceDN w:val="0"/>
        <w:adjustRightInd w:val="0"/>
        <w:jc w:val="center"/>
        <w:rPr>
          <w:rFonts w:eastAsia="仿宋_GB2312"/>
          <w:b/>
          <w:szCs w:val="20"/>
        </w:rPr>
      </w:pPr>
    </w:p>
    <w:p w14:paraId="7822AFBC">
      <w:pPr>
        <w:spacing w:after="100" w:afterAutospacing="1"/>
        <w:ind w:firstLine="480"/>
        <w:jc w:val="center"/>
        <w:rPr>
          <w:rFonts w:eastAsia="仿宋_GB2312"/>
          <w:szCs w:val="20"/>
        </w:rPr>
      </w:pPr>
      <w:r>
        <w:rPr>
          <w:rFonts w:eastAsia="仿宋_GB2312"/>
          <w:szCs w:val="20"/>
          <w:lang w:bidi="ar"/>
        </w:rPr>
        <w:drawing>
          <wp:inline distT="0" distB="0" distL="114300" distR="114300">
            <wp:extent cx="4143375" cy="2209800"/>
            <wp:effectExtent l="0" t="0" r="190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rcRect l="4550" t="5391" r="21700" b="22568"/>
                    <a:stretch>
                      <a:fillRect/>
                    </a:stretch>
                  </pic:blipFill>
                  <pic:spPr>
                    <a:xfrm>
                      <a:off x="0" y="0"/>
                      <a:ext cx="4143375" cy="2209800"/>
                    </a:xfrm>
                    <a:prstGeom prst="rect">
                      <a:avLst/>
                    </a:prstGeom>
                    <a:noFill/>
                    <a:ln>
                      <a:noFill/>
                    </a:ln>
                  </pic:spPr>
                </pic:pic>
              </a:graphicData>
            </a:graphic>
          </wp:inline>
        </w:drawing>
      </w:r>
    </w:p>
    <w:p w14:paraId="35486F9C">
      <w:pPr>
        <w:ind w:firstLine="840" w:firstLineChars="400"/>
        <w:jc w:val="left"/>
        <w:rPr>
          <w:rFonts w:ascii="宋体" w:hAnsi="宋体"/>
        </w:rPr>
      </w:pPr>
      <w:r>
        <w:rPr>
          <w:rFonts w:ascii="宋体" w:hAnsi="宋体"/>
          <w:lang w:bidi="ar"/>
        </w:rPr>
        <w:t>H1、H2-建筑高度</w:t>
      </w:r>
    </w:p>
    <w:p w14:paraId="4DE20F45">
      <w:pPr>
        <w:ind w:firstLine="840" w:firstLineChars="400"/>
        <w:jc w:val="left"/>
        <w:rPr>
          <w:rFonts w:ascii="宋体" w:hAnsi="宋体"/>
        </w:rPr>
      </w:pPr>
      <w:r>
        <w:rPr>
          <w:rFonts w:ascii="宋体" w:hAnsi="宋体"/>
          <w:lang w:bidi="ar"/>
        </w:rPr>
        <w:t>D3-建筑高度20m以上建筑山墙面与20m以下建筑山墙面之间间距</w:t>
      </w:r>
    </w:p>
    <w:p w14:paraId="1EC5A327">
      <w:pPr>
        <w:ind w:firstLine="840" w:firstLineChars="400"/>
        <w:jc w:val="left"/>
        <w:rPr>
          <w:rFonts w:ascii="宋体" w:hAnsi="宋体"/>
        </w:rPr>
      </w:pPr>
      <w:r>
        <w:rPr>
          <w:rFonts w:ascii="宋体" w:hAnsi="宋体"/>
          <w:lang w:bidi="ar"/>
        </w:rPr>
        <w:t>D4-建筑高度20m以上建筑山墙面与北侧20m以下建筑纵墙面之间间距</w:t>
      </w:r>
    </w:p>
    <w:p w14:paraId="4AAEB5D7">
      <w:pPr>
        <w:ind w:firstLine="840" w:firstLineChars="400"/>
        <w:jc w:val="left"/>
        <w:rPr>
          <w:rFonts w:ascii="宋体" w:hAnsi="宋体"/>
        </w:rPr>
      </w:pPr>
      <w:r>
        <w:rPr>
          <w:rFonts w:ascii="宋体" w:hAnsi="宋体"/>
          <w:lang w:bidi="ar"/>
        </w:rPr>
        <w:t>D5-建筑高度20m以上建筑山墙面与南侧20m以下建筑纵墙面之间间距</w:t>
      </w:r>
    </w:p>
    <w:p w14:paraId="20DA1BB3">
      <w:pPr>
        <w:ind w:firstLine="840" w:firstLineChars="400"/>
        <w:jc w:val="left"/>
        <w:rPr>
          <w:rFonts w:ascii="宋体" w:hAnsi="宋体"/>
        </w:rPr>
      </w:pPr>
      <w:r>
        <w:rPr>
          <w:rFonts w:ascii="宋体" w:hAnsi="宋体"/>
          <w:lang w:bidi="ar"/>
        </w:rPr>
        <w:t>D6-建筑高度20m以上建筑山墙面与东、西方向20m以下建筑纵墙面之间间距</w:t>
      </w:r>
    </w:p>
    <w:p w14:paraId="2015183B">
      <w:pPr>
        <w:ind w:firstLine="840" w:firstLineChars="400"/>
        <w:jc w:val="left"/>
        <w:rPr>
          <w:rFonts w:ascii="宋体" w:hAnsi="宋体"/>
        </w:rPr>
      </w:pPr>
      <w:r>
        <w:rPr>
          <w:rFonts w:ascii="宋体" w:hAnsi="宋体"/>
          <w:lang w:bidi="ar"/>
        </w:rPr>
        <w:t>当H1＞20m、H2≤20m时，D3≥14m; D4≥20m; D5≥18m; D6≥14m</w:t>
      </w:r>
    </w:p>
    <w:p w14:paraId="7542FD09">
      <w:pPr>
        <w:rPr>
          <w:rFonts w:eastAsia="黑体"/>
          <w:sz w:val="28"/>
          <w:szCs w:val="28"/>
          <w:lang w:bidi="ar"/>
        </w:rPr>
      </w:pPr>
      <w:r>
        <w:rPr>
          <w:rFonts w:eastAsia="黑体"/>
          <w:sz w:val="28"/>
          <w:szCs w:val="28"/>
          <w:lang w:bidi="ar"/>
        </w:rPr>
        <w:t>附图4—4</w:t>
      </w:r>
    </w:p>
    <w:p w14:paraId="2BA488F1">
      <w:pPr>
        <w:autoSpaceDE w:val="0"/>
        <w:autoSpaceDN w:val="0"/>
        <w:adjustRightInd w:val="0"/>
        <w:jc w:val="center"/>
        <w:rPr>
          <w:rFonts w:eastAsia="黑体"/>
          <w:sz w:val="28"/>
          <w:szCs w:val="28"/>
          <w:lang w:bidi="ar"/>
        </w:rPr>
      </w:pPr>
    </w:p>
    <w:p w14:paraId="5C0C855D">
      <w:pPr>
        <w:autoSpaceDE w:val="0"/>
        <w:autoSpaceDN w:val="0"/>
        <w:adjustRightInd w:val="0"/>
        <w:jc w:val="center"/>
        <w:rPr>
          <w:rFonts w:eastAsia="黑体"/>
          <w:sz w:val="28"/>
          <w:szCs w:val="28"/>
          <w:lang w:bidi="ar"/>
        </w:rPr>
      </w:pPr>
      <w:r>
        <w:rPr>
          <w:rFonts w:eastAsia="黑体"/>
          <w:sz w:val="28"/>
          <w:szCs w:val="28"/>
          <w:lang w:bidi="ar"/>
        </w:rPr>
        <w:t>条式建筑南北向投影重叠面示意图</w:t>
      </w:r>
    </w:p>
    <w:p w14:paraId="0B4F8FDE">
      <w:pPr>
        <w:autoSpaceDE w:val="0"/>
        <w:autoSpaceDN w:val="0"/>
        <w:adjustRightInd w:val="0"/>
        <w:jc w:val="center"/>
        <w:rPr>
          <w:rFonts w:eastAsia="黑体"/>
          <w:sz w:val="28"/>
          <w:szCs w:val="28"/>
          <w:lang w:bidi="ar"/>
        </w:rPr>
      </w:pPr>
    </w:p>
    <w:p w14:paraId="1434349F">
      <w:pPr>
        <w:spacing w:after="100" w:afterAutospacing="1"/>
        <w:ind w:firstLine="480"/>
        <w:jc w:val="center"/>
        <w:rPr>
          <w:rFonts w:eastAsia="仿宋_GB2312"/>
          <w:szCs w:val="20"/>
        </w:rPr>
      </w:pPr>
      <w:r>
        <w:rPr>
          <w:rFonts w:eastAsia="仿宋_GB2312"/>
          <w:szCs w:val="20"/>
          <w:lang w:bidi="ar"/>
        </w:rPr>
        <w:drawing>
          <wp:inline distT="0" distB="0" distL="114300" distR="114300">
            <wp:extent cx="3981450" cy="1924050"/>
            <wp:effectExtent l="0" t="0" r="11430"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rcRect l="7117" t="6398" r="12708" b="34845"/>
                    <a:stretch>
                      <a:fillRect/>
                    </a:stretch>
                  </pic:blipFill>
                  <pic:spPr>
                    <a:xfrm>
                      <a:off x="0" y="0"/>
                      <a:ext cx="3981450" cy="1924050"/>
                    </a:xfrm>
                    <a:prstGeom prst="rect">
                      <a:avLst/>
                    </a:prstGeom>
                    <a:noFill/>
                    <a:ln>
                      <a:noFill/>
                    </a:ln>
                  </pic:spPr>
                </pic:pic>
              </a:graphicData>
            </a:graphic>
          </wp:inline>
        </w:drawing>
      </w:r>
    </w:p>
    <w:p w14:paraId="5734F011">
      <w:pPr>
        <w:ind w:firstLine="840" w:firstLineChars="400"/>
        <w:jc w:val="left"/>
        <w:rPr>
          <w:rFonts w:ascii="宋体" w:hAnsi="宋体"/>
        </w:rPr>
      </w:pPr>
      <w:r>
        <w:rPr>
          <w:rFonts w:ascii="宋体" w:hAnsi="宋体"/>
          <w:lang w:bidi="ar"/>
        </w:rPr>
        <w:t>D1-条式建筑之间间距  D'-重叠面宽度  D标准-平行建筑间的应退间距</w:t>
      </w:r>
    </w:p>
    <w:p w14:paraId="2E0FD195">
      <w:pPr>
        <w:ind w:firstLine="840" w:firstLineChars="400"/>
        <w:jc w:val="left"/>
        <w:rPr>
          <w:rFonts w:ascii="宋体" w:hAnsi="宋体"/>
        </w:rPr>
      </w:pPr>
      <w:r>
        <w:rPr>
          <w:rFonts w:ascii="宋体" w:hAnsi="宋体"/>
          <w:lang w:bidi="ar"/>
        </w:rPr>
        <w:t>当D'≤12m时，D1≥0.8×D标准</w:t>
      </w:r>
    </w:p>
    <w:p w14:paraId="5E2B60E3">
      <w:pPr>
        <w:rPr>
          <w:rFonts w:eastAsia="仿宋_GB2312"/>
          <w:b/>
          <w:szCs w:val="20"/>
        </w:rPr>
      </w:pPr>
    </w:p>
    <w:p w14:paraId="3F9E7716">
      <w:pPr>
        <w:rPr>
          <w:rFonts w:eastAsia="仿宋_GB2312"/>
          <w:b/>
          <w:szCs w:val="20"/>
        </w:rPr>
      </w:pPr>
    </w:p>
    <w:p w14:paraId="7DCDFF62">
      <w:pPr>
        <w:rPr>
          <w:rFonts w:eastAsia="黑体"/>
          <w:sz w:val="28"/>
          <w:szCs w:val="28"/>
          <w:lang w:bidi="ar"/>
        </w:rPr>
      </w:pPr>
      <w:r>
        <w:rPr>
          <w:rFonts w:eastAsia="黑体"/>
          <w:sz w:val="28"/>
          <w:szCs w:val="28"/>
          <w:lang w:bidi="ar"/>
        </w:rPr>
        <w:t>附图4—5</w:t>
      </w:r>
    </w:p>
    <w:p w14:paraId="385250AB">
      <w:pPr>
        <w:rPr>
          <w:rFonts w:eastAsia="仿宋_GB2312"/>
          <w:b/>
          <w:szCs w:val="20"/>
        </w:rPr>
      </w:pPr>
    </w:p>
    <w:p w14:paraId="630C1F37">
      <w:pPr>
        <w:autoSpaceDE w:val="0"/>
        <w:autoSpaceDN w:val="0"/>
        <w:adjustRightInd w:val="0"/>
        <w:jc w:val="center"/>
        <w:rPr>
          <w:rFonts w:eastAsia="仿宋_GB2312"/>
          <w:b/>
          <w:szCs w:val="20"/>
        </w:rPr>
      </w:pPr>
      <w:r>
        <w:rPr>
          <w:rFonts w:eastAsia="黑体"/>
          <w:sz w:val="28"/>
          <w:szCs w:val="28"/>
          <w:lang w:bidi="ar"/>
        </w:rPr>
        <w:t>塔式居住建筑之间建筑间距示意图</w:t>
      </w:r>
    </w:p>
    <w:p w14:paraId="293C24AF">
      <w:pPr>
        <w:spacing w:after="100" w:afterAutospacing="1"/>
        <w:ind w:firstLine="480"/>
        <w:jc w:val="center"/>
        <w:rPr>
          <w:rFonts w:eastAsia="仿宋_GB2312"/>
          <w:szCs w:val="20"/>
        </w:rPr>
      </w:pPr>
      <w:r>
        <w:rPr>
          <w:rFonts w:eastAsia="仿宋_GB2312"/>
          <w:szCs w:val="20"/>
          <w:lang w:bidi="ar"/>
        </w:rPr>
        <w:drawing>
          <wp:inline distT="0" distB="0" distL="114300" distR="114300">
            <wp:extent cx="3409950" cy="2486025"/>
            <wp:effectExtent l="0" t="0" r="3810" b="1333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5"/>
                    <a:srcRect l="14911" t="6346" r="26054" b="46165"/>
                    <a:stretch>
                      <a:fillRect/>
                    </a:stretch>
                  </pic:blipFill>
                  <pic:spPr>
                    <a:xfrm>
                      <a:off x="0" y="0"/>
                      <a:ext cx="3409950" cy="2486025"/>
                    </a:xfrm>
                    <a:prstGeom prst="rect">
                      <a:avLst/>
                    </a:prstGeom>
                    <a:noFill/>
                    <a:ln>
                      <a:noFill/>
                    </a:ln>
                  </pic:spPr>
                </pic:pic>
              </a:graphicData>
            </a:graphic>
          </wp:inline>
        </w:drawing>
      </w:r>
    </w:p>
    <w:p w14:paraId="173C5763">
      <w:pPr>
        <w:ind w:firstLine="840" w:firstLineChars="400"/>
        <w:jc w:val="left"/>
        <w:rPr>
          <w:rFonts w:ascii="宋体" w:hAnsi="宋体"/>
        </w:rPr>
      </w:pPr>
      <w:r>
        <w:rPr>
          <w:rFonts w:ascii="宋体" w:hAnsi="宋体"/>
          <w:lang w:bidi="ar"/>
        </w:rPr>
        <w:t xml:space="preserve">D1-塔式建筑之间无重叠面时的建筑间距 </w:t>
      </w:r>
    </w:p>
    <w:p w14:paraId="5667BE73">
      <w:pPr>
        <w:ind w:firstLine="840" w:firstLineChars="400"/>
        <w:jc w:val="left"/>
        <w:rPr>
          <w:rFonts w:ascii="宋体" w:hAnsi="宋体"/>
        </w:rPr>
      </w:pPr>
      <w:r>
        <w:rPr>
          <w:rFonts w:ascii="宋体" w:hAnsi="宋体"/>
          <w:lang w:bidi="ar"/>
        </w:rPr>
        <w:t>D2-塔式建筑之间有重叠面时的建筑间距  D'-重叠面宽度</w:t>
      </w:r>
    </w:p>
    <w:p w14:paraId="22D8F56D">
      <w:pPr>
        <w:ind w:firstLine="840" w:firstLineChars="400"/>
        <w:jc w:val="center"/>
        <w:rPr>
          <w:rFonts w:ascii="宋体" w:hAnsi="宋体"/>
        </w:rPr>
      </w:pPr>
    </w:p>
    <w:p w14:paraId="7D8AED79">
      <w:pPr>
        <w:ind w:firstLine="840" w:firstLineChars="400"/>
        <w:jc w:val="left"/>
        <w:rPr>
          <w:rFonts w:ascii="宋体" w:hAnsi="宋体"/>
        </w:rPr>
      </w:pPr>
      <w:r>
        <w:rPr>
          <w:rFonts w:ascii="宋体" w:hAnsi="宋体"/>
          <w:lang w:bidi="ar"/>
        </w:rPr>
        <w:t xml:space="preserve">当塔式建筑A、B无重叠面时，D1为建筑最近点间距且D1≥15m; </w:t>
      </w:r>
    </w:p>
    <w:p w14:paraId="332D9BC0">
      <w:pPr>
        <w:ind w:firstLine="840" w:firstLineChars="400"/>
        <w:jc w:val="left"/>
        <w:rPr>
          <w:rFonts w:ascii="宋体" w:hAnsi="宋体"/>
        </w:rPr>
      </w:pPr>
      <w:r>
        <w:rPr>
          <w:rFonts w:ascii="宋体" w:hAnsi="宋体"/>
          <w:lang w:bidi="ar"/>
        </w:rPr>
        <w:t>当塔式建筑A、C重叠面D'≤12m时，D2≥20m；</w:t>
      </w:r>
    </w:p>
    <w:p w14:paraId="25356D9A">
      <w:pPr>
        <w:ind w:firstLine="840" w:firstLineChars="400"/>
        <w:jc w:val="left"/>
        <w:rPr>
          <w:rFonts w:ascii="宋体" w:hAnsi="宋体"/>
        </w:rPr>
      </w:pPr>
      <w:r>
        <w:rPr>
          <w:rFonts w:ascii="宋体" w:hAnsi="宋体"/>
          <w:lang w:bidi="ar"/>
        </w:rPr>
        <w:t>当塔式建筑A、C重叠面D'＞12m时，D2按本条第（二）款第1目计算</w:t>
      </w:r>
    </w:p>
    <w:p w14:paraId="78AA5783">
      <w:pPr>
        <w:ind w:firstLine="840" w:firstLineChars="400"/>
        <w:jc w:val="left"/>
        <w:rPr>
          <w:rFonts w:ascii="宋体" w:hAnsi="宋体"/>
        </w:rPr>
      </w:pPr>
      <w:r>
        <w:rPr>
          <w:rFonts w:ascii="宋体" w:hAnsi="宋体"/>
          <w:lang w:bidi="ar"/>
        </w:rPr>
        <w:t>塔式拼接建筑按照条式建筑计算间距</w:t>
      </w:r>
    </w:p>
    <w:p w14:paraId="39E72F4E">
      <w:pPr>
        <w:rPr>
          <w:rFonts w:eastAsia="黑体"/>
          <w:sz w:val="28"/>
          <w:szCs w:val="28"/>
          <w:lang w:bidi="ar"/>
        </w:rPr>
      </w:pPr>
      <w:r>
        <w:rPr>
          <w:rFonts w:eastAsia="黑体"/>
          <w:sz w:val="28"/>
          <w:szCs w:val="28"/>
          <w:lang w:bidi="ar"/>
        </w:rPr>
        <w:t>附图4—6</w:t>
      </w:r>
    </w:p>
    <w:p w14:paraId="06406240">
      <w:pPr>
        <w:rPr>
          <w:rFonts w:eastAsia="仿宋_GB2312"/>
          <w:b/>
          <w:szCs w:val="20"/>
        </w:rPr>
      </w:pPr>
    </w:p>
    <w:p w14:paraId="65CF4252">
      <w:pPr>
        <w:rPr>
          <w:rFonts w:eastAsia="仿宋_GB2312"/>
          <w:b/>
          <w:szCs w:val="20"/>
        </w:rPr>
      </w:pPr>
    </w:p>
    <w:p w14:paraId="5C6FA858">
      <w:pPr>
        <w:rPr>
          <w:rFonts w:eastAsia="仿宋_GB2312"/>
          <w:b/>
          <w:szCs w:val="20"/>
        </w:rPr>
      </w:pPr>
    </w:p>
    <w:p w14:paraId="13DB73A2">
      <w:pPr>
        <w:autoSpaceDE w:val="0"/>
        <w:autoSpaceDN w:val="0"/>
        <w:adjustRightInd w:val="0"/>
        <w:jc w:val="center"/>
        <w:rPr>
          <w:rFonts w:eastAsia="仿宋_GB2312"/>
          <w:b/>
          <w:szCs w:val="20"/>
        </w:rPr>
      </w:pPr>
      <w:r>
        <w:rPr>
          <w:rFonts w:eastAsia="黑体"/>
          <w:sz w:val="28"/>
          <w:szCs w:val="28"/>
          <w:lang w:bidi="ar"/>
        </w:rPr>
        <w:t>塔式建筑与条式建筑间距示意图</w:t>
      </w:r>
    </w:p>
    <w:p w14:paraId="01B4AD07">
      <w:pPr>
        <w:spacing w:after="100" w:afterAutospacing="1" w:line="360" w:lineRule="exact"/>
        <w:ind w:firstLine="843" w:firstLineChars="400"/>
        <w:jc w:val="center"/>
        <w:rPr>
          <w:rFonts w:eastAsia="仿宋_GB2312"/>
          <w:b/>
          <w:szCs w:val="20"/>
        </w:rPr>
      </w:pPr>
    </w:p>
    <w:p w14:paraId="56A99048">
      <w:pPr>
        <w:spacing w:after="100" w:afterAutospacing="1"/>
        <w:jc w:val="center"/>
        <w:rPr>
          <w:rFonts w:eastAsia="仿宋_GB2312"/>
          <w:b/>
          <w:szCs w:val="20"/>
        </w:rPr>
      </w:pPr>
      <w:r>
        <w:rPr>
          <w:rFonts w:eastAsia="仿宋_GB2312"/>
          <w:b/>
          <w:szCs w:val="20"/>
          <w:lang w:bidi="ar"/>
        </w:rPr>
        <w:drawing>
          <wp:inline distT="0" distB="0" distL="114300" distR="114300">
            <wp:extent cx="4552950" cy="4752975"/>
            <wp:effectExtent l="0" t="0" r="3810" b="190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6"/>
                    <a:srcRect l="5313" t="3314" r="14488" b="22551"/>
                    <a:stretch>
                      <a:fillRect/>
                    </a:stretch>
                  </pic:blipFill>
                  <pic:spPr>
                    <a:xfrm>
                      <a:off x="0" y="0"/>
                      <a:ext cx="4552950" cy="4752975"/>
                    </a:xfrm>
                    <a:prstGeom prst="rect">
                      <a:avLst/>
                    </a:prstGeom>
                    <a:noFill/>
                    <a:ln>
                      <a:noFill/>
                    </a:ln>
                  </pic:spPr>
                </pic:pic>
              </a:graphicData>
            </a:graphic>
          </wp:inline>
        </w:drawing>
      </w:r>
    </w:p>
    <w:p w14:paraId="5211CADA">
      <w:pPr>
        <w:ind w:firstLine="840" w:firstLineChars="400"/>
        <w:jc w:val="left"/>
        <w:rPr>
          <w:rFonts w:ascii="宋体" w:hAnsi="宋体"/>
        </w:rPr>
      </w:pPr>
      <w:r>
        <w:rPr>
          <w:rFonts w:ascii="宋体" w:hAnsi="宋体"/>
          <w:lang w:bidi="ar"/>
        </w:rPr>
        <w:t>D1-塔式建筑和其南北侧条式建筑纵墙面之间间距</w:t>
      </w:r>
    </w:p>
    <w:p w14:paraId="43C2B722">
      <w:pPr>
        <w:ind w:firstLine="840" w:firstLineChars="400"/>
        <w:jc w:val="left"/>
        <w:rPr>
          <w:rFonts w:ascii="宋体" w:hAnsi="宋体"/>
        </w:rPr>
      </w:pPr>
      <w:r>
        <w:rPr>
          <w:rFonts w:ascii="宋体" w:hAnsi="宋体"/>
          <w:lang w:bidi="ar"/>
        </w:rPr>
        <w:t>D2-塔式建筑和其东西侧条式建筑纵墙面之间间距</w:t>
      </w:r>
    </w:p>
    <w:p w14:paraId="328C8887">
      <w:pPr>
        <w:ind w:firstLine="840" w:firstLineChars="400"/>
        <w:jc w:val="left"/>
        <w:rPr>
          <w:rFonts w:ascii="宋体" w:hAnsi="宋体"/>
        </w:rPr>
      </w:pPr>
      <w:r>
        <w:rPr>
          <w:rFonts w:ascii="宋体" w:hAnsi="宋体"/>
          <w:lang w:bidi="ar"/>
        </w:rPr>
        <w:t>D3-塔式建筑和条式建筑山墙面之间间距</w:t>
      </w:r>
    </w:p>
    <w:p w14:paraId="704802EA">
      <w:pPr>
        <w:ind w:firstLine="840" w:firstLineChars="400"/>
        <w:jc w:val="left"/>
        <w:rPr>
          <w:rFonts w:ascii="宋体" w:hAnsi="宋体"/>
        </w:rPr>
      </w:pPr>
      <w:r>
        <w:rPr>
          <w:rFonts w:ascii="宋体" w:hAnsi="宋体"/>
          <w:lang w:bidi="ar"/>
        </w:rPr>
        <w:t>D1按照条式建筑计算间距; D2≥18m; D3≥15m</w:t>
      </w:r>
    </w:p>
    <w:p w14:paraId="7C22289C">
      <w:pPr>
        <w:spacing w:after="100" w:afterAutospacing="1" w:line="360" w:lineRule="exact"/>
        <w:ind w:firstLine="840" w:firstLineChars="400"/>
        <w:jc w:val="center"/>
        <w:rPr>
          <w:rFonts w:ascii="宋体" w:hAnsi="宋体"/>
          <w:szCs w:val="20"/>
        </w:rPr>
      </w:pPr>
    </w:p>
    <w:p w14:paraId="354037F2">
      <w:pPr>
        <w:rPr>
          <w:rFonts w:eastAsia="仿宋_GB2312"/>
          <w:b/>
          <w:szCs w:val="20"/>
        </w:rPr>
      </w:pPr>
      <w:r>
        <w:rPr>
          <w:rFonts w:eastAsia="仿宋_GB2312"/>
          <w:b/>
          <w:szCs w:val="20"/>
          <w:lang w:bidi="ar"/>
        </w:rPr>
        <w:br w:type="page"/>
      </w:r>
      <w:r>
        <w:rPr>
          <w:rFonts w:eastAsia="黑体"/>
          <w:sz w:val="28"/>
          <w:szCs w:val="28"/>
          <w:lang w:bidi="ar"/>
        </w:rPr>
        <w:t>附图4—7</w:t>
      </w:r>
    </w:p>
    <w:p w14:paraId="7BCA0FE4">
      <w:pPr>
        <w:rPr>
          <w:rFonts w:eastAsia="仿宋_GB2312"/>
          <w:b/>
          <w:szCs w:val="20"/>
        </w:rPr>
      </w:pPr>
    </w:p>
    <w:p w14:paraId="1AA346D6">
      <w:pPr>
        <w:rPr>
          <w:rFonts w:eastAsia="仿宋_GB2312"/>
          <w:b/>
          <w:szCs w:val="20"/>
        </w:rPr>
      </w:pPr>
    </w:p>
    <w:p w14:paraId="7614F7C0">
      <w:pPr>
        <w:autoSpaceDE w:val="0"/>
        <w:autoSpaceDN w:val="0"/>
        <w:adjustRightInd w:val="0"/>
        <w:jc w:val="center"/>
        <w:rPr>
          <w:rFonts w:eastAsia="仿宋_GB2312"/>
          <w:b/>
          <w:szCs w:val="20"/>
        </w:rPr>
      </w:pPr>
      <w:r>
        <w:rPr>
          <w:rFonts w:eastAsia="黑体"/>
          <w:sz w:val="28"/>
          <w:szCs w:val="28"/>
          <w:lang w:bidi="ar"/>
        </w:rPr>
        <w:t>非平行布置建筑物之间的建筑间距示意图</w:t>
      </w:r>
    </w:p>
    <w:p w14:paraId="29FDB69E">
      <w:pPr>
        <w:spacing w:after="100" w:afterAutospacing="1" w:line="360" w:lineRule="exact"/>
        <w:jc w:val="center"/>
        <w:rPr>
          <w:rFonts w:eastAsia="仿宋_GB2312"/>
          <w:b/>
          <w:szCs w:val="20"/>
        </w:rPr>
      </w:pPr>
    </w:p>
    <w:p w14:paraId="58EB2675">
      <w:pPr>
        <w:spacing w:after="100" w:afterAutospacing="1"/>
        <w:jc w:val="center"/>
        <w:rPr>
          <w:rFonts w:eastAsia="仿宋_GB2312"/>
          <w:szCs w:val="20"/>
        </w:rPr>
      </w:pPr>
      <w:r>
        <w:rPr>
          <w:rFonts w:eastAsia="仿宋_GB2312"/>
          <w:szCs w:val="20"/>
          <w:lang w:bidi="ar"/>
        </w:rPr>
        <w:drawing>
          <wp:inline distT="0" distB="0" distL="114300" distR="114300">
            <wp:extent cx="4095750" cy="5362575"/>
            <wp:effectExtent l="0" t="0" r="3810" b="190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rcRect l="7452" t="3709" r="9525" b="21396"/>
                    <a:stretch>
                      <a:fillRect/>
                    </a:stretch>
                  </pic:blipFill>
                  <pic:spPr>
                    <a:xfrm>
                      <a:off x="0" y="0"/>
                      <a:ext cx="4095750" cy="5362575"/>
                    </a:xfrm>
                    <a:prstGeom prst="rect">
                      <a:avLst/>
                    </a:prstGeom>
                    <a:noFill/>
                    <a:ln>
                      <a:noFill/>
                    </a:ln>
                  </pic:spPr>
                </pic:pic>
              </a:graphicData>
            </a:graphic>
          </wp:inline>
        </w:drawing>
      </w:r>
    </w:p>
    <w:p w14:paraId="75DE033C">
      <w:pPr>
        <w:ind w:firstLine="840" w:firstLineChars="400"/>
        <w:jc w:val="left"/>
        <w:rPr>
          <w:rFonts w:ascii="宋体" w:hAnsi="宋体"/>
        </w:rPr>
      </w:pPr>
      <w:r>
        <w:rPr>
          <w:rFonts w:ascii="宋体" w:hAnsi="宋体"/>
          <w:lang w:bidi="ar"/>
        </w:rPr>
        <w:t>α-非平行布置建筑纵墙面之间夹角</w:t>
      </w:r>
    </w:p>
    <w:p w14:paraId="355EBF1A">
      <w:pPr>
        <w:ind w:firstLine="840" w:firstLineChars="400"/>
        <w:jc w:val="left"/>
        <w:rPr>
          <w:rFonts w:ascii="宋体" w:hAnsi="宋体"/>
        </w:rPr>
      </w:pPr>
      <w:r>
        <w:rPr>
          <w:rFonts w:ascii="宋体" w:hAnsi="宋体"/>
          <w:lang w:bidi="ar"/>
        </w:rPr>
        <w:t>D标准-平行建筑物间的应退间距</w:t>
      </w:r>
    </w:p>
    <w:p w14:paraId="1C14A855">
      <w:pPr>
        <w:ind w:firstLine="840" w:firstLineChars="400"/>
        <w:jc w:val="left"/>
        <w:rPr>
          <w:rFonts w:ascii="宋体" w:hAnsi="宋体"/>
        </w:rPr>
      </w:pPr>
      <w:r>
        <w:rPr>
          <w:rFonts w:ascii="宋体" w:hAnsi="宋体"/>
          <w:lang w:bidi="ar"/>
        </w:rPr>
        <w:t>D1-建筑物投影重叠区域墙面中点连线距离</w:t>
      </w:r>
    </w:p>
    <w:p w14:paraId="16A1B604">
      <w:pPr>
        <w:ind w:firstLine="840" w:firstLineChars="400"/>
        <w:jc w:val="left"/>
        <w:rPr>
          <w:rFonts w:ascii="宋体" w:hAnsi="宋体"/>
        </w:rPr>
      </w:pPr>
      <w:r>
        <w:rPr>
          <w:rFonts w:ascii="宋体" w:hAnsi="宋体"/>
          <w:lang w:bidi="ar"/>
        </w:rPr>
        <w:t>D2-建筑物之间最近点距离</w:t>
      </w:r>
    </w:p>
    <w:p w14:paraId="29C55945">
      <w:pPr>
        <w:ind w:firstLine="840" w:firstLineChars="400"/>
        <w:jc w:val="left"/>
        <w:rPr>
          <w:rFonts w:ascii="宋体" w:hAnsi="宋体"/>
        </w:rPr>
      </w:pPr>
    </w:p>
    <w:p w14:paraId="28837E89">
      <w:pPr>
        <w:ind w:firstLine="840" w:firstLineChars="400"/>
        <w:jc w:val="left"/>
        <w:rPr>
          <w:rFonts w:ascii="宋体" w:hAnsi="宋体"/>
        </w:rPr>
      </w:pPr>
      <w:r>
        <w:rPr>
          <w:rFonts w:ascii="宋体" w:hAnsi="宋体"/>
          <w:lang w:bidi="ar"/>
        </w:rPr>
        <w:t>当15°≤α≤60°时，D1≥D标准，D2≥0.7×D标准;</w:t>
      </w:r>
    </w:p>
    <w:p w14:paraId="640DF387">
      <w:pPr>
        <w:ind w:firstLine="840" w:firstLineChars="400"/>
        <w:jc w:val="left"/>
        <w:rPr>
          <w:rFonts w:ascii="宋体" w:hAnsi="宋体"/>
        </w:rPr>
      </w:pPr>
      <w:r>
        <w:rPr>
          <w:rFonts w:ascii="宋体" w:hAnsi="宋体"/>
          <w:lang w:bidi="ar"/>
        </w:rPr>
        <w:t>当α＞60°时，D2不少于建筑纵墙面对山墙面的标准距离；</w:t>
      </w:r>
    </w:p>
    <w:p w14:paraId="65261ED6">
      <w:pPr>
        <w:ind w:firstLine="840" w:firstLineChars="400"/>
        <w:jc w:val="left"/>
        <w:rPr>
          <w:rFonts w:ascii="宋体" w:hAnsi="宋体"/>
        </w:rPr>
      </w:pPr>
      <w:r>
        <w:rPr>
          <w:rFonts w:ascii="宋体" w:hAnsi="宋体"/>
          <w:lang w:bidi="ar"/>
        </w:rPr>
        <w:t>当α＜15°时，按照平行布置的建筑计算间距</w:t>
      </w:r>
    </w:p>
    <w:p w14:paraId="0E35D0F9">
      <w:pPr>
        <w:rPr>
          <w:rFonts w:eastAsia="仿宋_GB2312"/>
          <w:b/>
          <w:szCs w:val="20"/>
        </w:rPr>
      </w:pPr>
      <w:r>
        <w:rPr>
          <w:rFonts w:ascii="宋体" w:hAnsi="宋体"/>
          <w:szCs w:val="20"/>
          <w:lang w:bidi="ar"/>
        </w:rPr>
        <w:br w:type="page"/>
      </w:r>
      <w:r>
        <w:rPr>
          <w:rFonts w:eastAsia="黑体"/>
          <w:sz w:val="28"/>
          <w:szCs w:val="28"/>
          <w:lang w:bidi="ar"/>
        </w:rPr>
        <w:t>附图6—1</w:t>
      </w:r>
    </w:p>
    <w:p w14:paraId="22993124">
      <w:pPr>
        <w:rPr>
          <w:rFonts w:eastAsia="仿宋_GB2312"/>
          <w:b/>
          <w:szCs w:val="20"/>
        </w:rPr>
      </w:pPr>
    </w:p>
    <w:p w14:paraId="1802C1EA">
      <w:pPr>
        <w:autoSpaceDE w:val="0"/>
        <w:autoSpaceDN w:val="0"/>
        <w:adjustRightInd w:val="0"/>
        <w:jc w:val="center"/>
        <w:rPr>
          <w:rFonts w:eastAsia="黑体"/>
          <w:sz w:val="28"/>
          <w:szCs w:val="28"/>
          <w:lang w:bidi="ar"/>
        </w:rPr>
      </w:pPr>
    </w:p>
    <w:p w14:paraId="79994061">
      <w:pPr>
        <w:autoSpaceDE w:val="0"/>
        <w:autoSpaceDN w:val="0"/>
        <w:adjustRightInd w:val="0"/>
        <w:jc w:val="center"/>
        <w:rPr>
          <w:rFonts w:eastAsia="仿宋_GB2312"/>
          <w:b/>
          <w:szCs w:val="20"/>
        </w:rPr>
      </w:pPr>
      <w:r>
        <w:rPr>
          <w:rFonts w:eastAsia="黑体"/>
          <w:sz w:val="28"/>
          <w:szCs w:val="28"/>
          <w:lang w:bidi="ar"/>
        </w:rPr>
        <w:t>建筑物退让城市规划道路红线</w:t>
      </w:r>
      <w:r>
        <w:rPr>
          <w:rFonts w:eastAsia="仿宋_GB2312"/>
          <w:b/>
          <w:szCs w:val="20"/>
          <w:lang w:bidi="ar"/>
        </w:rPr>
        <w:t>、</w:t>
      </w:r>
      <w:r>
        <w:rPr>
          <w:rFonts w:eastAsia="黑体"/>
          <w:sz w:val="28"/>
          <w:szCs w:val="28"/>
          <w:lang w:bidi="ar"/>
        </w:rPr>
        <w:t>规划用地红线示意图</w:t>
      </w:r>
    </w:p>
    <w:p w14:paraId="1C8DD732">
      <w:pPr>
        <w:spacing w:after="100" w:afterAutospacing="1"/>
        <w:jc w:val="center"/>
        <w:rPr>
          <w:rFonts w:eastAsia="仿宋_GB2312"/>
          <w:szCs w:val="20"/>
        </w:rPr>
      </w:pPr>
      <w:r>
        <w:rPr>
          <w:rFonts w:eastAsia="仿宋_GB2312"/>
          <w:szCs w:val="20"/>
          <w:lang w:bidi="ar"/>
        </w:rPr>
        <w:drawing>
          <wp:inline distT="0" distB="0" distL="114300" distR="114300">
            <wp:extent cx="4210050" cy="2143125"/>
            <wp:effectExtent l="0" t="0" r="11430" b="571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8"/>
                    <a:srcRect l="4727" t="10202" r="3548" b="6868"/>
                    <a:stretch>
                      <a:fillRect/>
                    </a:stretch>
                  </pic:blipFill>
                  <pic:spPr>
                    <a:xfrm>
                      <a:off x="0" y="0"/>
                      <a:ext cx="4210050" cy="2143125"/>
                    </a:xfrm>
                    <a:prstGeom prst="rect">
                      <a:avLst/>
                    </a:prstGeom>
                    <a:noFill/>
                    <a:ln>
                      <a:noFill/>
                    </a:ln>
                  </pic:spPr>
                </pic:pic>
              </a:graphicData>
            </a:graphic>
          </wp:inline>
        </w:drawing>
      </w:r>
    </w:p>
    <w:p w14:paraId="198C20C6">
      <w:pPr>
        <w:ind w:firstLine="840" w:firstLineChars="400"/>
        <w:jc w:val="left"/>
        <w:rPr>
          <w:rFonts w:ascii="宋体" w:hAnsi="宋体"/>
        </w:rPr>
      </w:pPr>
      <w:r>
        <w:rPr>
          <w:rFonts w:ascii="宋体" w:hAnsi="宋体"/>
          <w:lang w:bidi="ar"/>
        </w:rPr>
        <w:t>D-城市规划道路红线宽度</w:t>
      </w:r>
    </w:p>
    <w:p w14:paraId="5E101B18">
      <w:pPr>
        <w:ind w:firstLine="840" w:firstLineChars="400"/>
        <w:jc w:val="left"/>
        <w:rPr>
          <w:rFonts w:ascii="宋体" w:hAnsi="宋体"/>
        </w:rPr>
      </w:pPr>
      <w:r>
        <w:rPr>
          <w:rFonts w:ascii="宋体" w:hAnsi="宋体"/>
          <w:lang w:bidi="ar"/>
        </w:rPr>
        <w:t>D1-建筑物后退城市规划道路红线距离</w:t>
      </w:r>
    </w:p>
    <w:p w14:paraId="6233518F">
      <w:pPr>
        <w:ind w:firstLine="840" w:firstLineChars="400"/>
        <w:jc w:val="left"/>
        <w:rPr>
          <w:rFonts w:ascii="宋体" w:hAnsi="宋体"/>
        </w:rPr>
      </w:pPr>
      <w:r>
        <w:rPr>
          <w:rFonts w:ascii="宋体" w:hAnsi="宋体"/>
          <w:lang w:bidi="ar"/>
        </w:rPr>
        <w:t>D2-围墙、挡土墙、护坡外缘线后退城市规划道路红线距离</w:t>
      </w:r>
    </w:p>
    <w:p w14:paraId="50972B12">
      <w:pPr>
        <w:ind w:firstLine="840" w:firstLineChars="400"/>
        <w:jc w:val="left"/>
        <w:rPr>
          <w:rFonts w:ascii="宋体" w:hAnsi="宋体"/>
        </w:rPr>
      </w:pPr>
      <w:r>
        <w:rPr>
          <w:rFonts w:ascii="宋体" w:hAnsi="宋体"/>
          <w:lang w:bidi="ar"/>
        </w:rPr>
        <w:t>D3-建筑物后退规划用地红线距离 D4-地下室后退规划用地红线距离</w:t>
      </w:r>
    </w:p>
    <w:p w14:paraId="0E7D45E9">
      <w:pPr>
        <w:rPr>
          <w:rFonts w:eastAsia="黑体"/>
          <w:sz w:val="28"/>
          <w:szCs w:val="28"/>
          <w:lang w:bidi="ar"/>
        </w:rPr>
      </w:pPr>
    </w:p>
    <w:p w14:paraId="4E35F8E2">
      <w:pPr>
        <w:rPr>
          <w:rFonts w:eastAsia="黑体"/>
          <w:sz w:val="28"/>
          <w:szCs w:val="28"/>
          <w:lang w:bidi="ar"/>
        </w:rPr>
      </w:pPr>
    </w:p>
    <w:p w14:paraId="00815819">
      <w:pPr>
        <w:rPr>
          <w:rFonts w:eastAsia="黑体"/>
          <w:sz w:val="28"/>
          <w:szCs w:val="28"/>
          <w:lang w:bidi="ar"/>
        </w:rPr>
      </w:pPr>
      <w:r>
        <w:rPr>
          <w:rFonts w:eastAsia="黑体"/>
          <w:sz w:val="28"/>
          <w:szCs w:val="28"/>
          <w:lang w:bidi="ar"/>
        </w:rPr>
        <w:t>附图6—2</w:t>
      </w:r>
    </w:p>
    <w:p w14:paraId="4E599B3C">
      <w:pPr>
        <w:rPr>
          <w:rFonts w:eastAsia="仿宋_GB2312"/>
          <w:b/>
          <w:szCs w:val="20"/>
        </w:rPr>
      </w:pPr>
    </w:p>
    <w:p w14:paraId="0F4D26E1">
      <w:pPr>
        <w:autoSpaceDE w:val="0"/>
        <w:autoSpaceDN w:val="0"/>
        <w:adjustRightInd w:val="0"/>
        <w:jc w:val="center"/>
        <w:rPr>
          <w:rFonts w:eastAsia="仿宋_GB2312"/>
          <w:b/>
          <w:szCs w:val="20"/>
        </w:rPr>
      </w:pPr>
      <w:r>
        <w:rPr>
          <w:rFonts w:eastAsia="黑体"/>
          <w:sz w:val="28"/>
          <w:szCs w:val="28"/>
          <w:lang w:bidi="ar"/>
        </w:rPr>
        <w:t>建筑物退让</w:t>
      </w:r>
      <w:r>
        <w:rPr>
          <w:rFonts w:eastAsia="黑体"/>
          <w:bCs/>
          <w:sz w:val="28"/>
          <w:szCs w:val="28"/>
          <w:lang w:bidi="ar"/>
        </w:rPr>
        <w:t>城市规划道路交叉口</w:t>
      </w:r>
      <w:r>
        <w:rPr>
          <w:rFonts w:eastAsia="黑体"/>
          <w:sz w:val="28"/>
          <w:szCs w:val="28"/>
          <w:lang w:bidi="ar"/>
        </w:rPr>
        <w:t>示意图</w:t>
      </w:r>
    </w:p>
    <w:p w14:paraId="0CE23BCC">
      <w:pPr>
        <w:spacing w:after="100" w:afterAutospacing="1"/>
        <w:jc w:val="center"/>
        <w:rPr>
          <w:rFonts w:eastAsia="仿宋_GB2312"/>
          <w:szCs w:val="20"/>
        </w:rPr>
      </w:pPr>
      <w:r>
        <w:rPr>
          <w:rFonts w:eastAsia="仿宋_GB2312"/>
          <w:szCs w:val="20"/>
          <w:lang w:bidi="ar"/>
        </w:rPr>
        <w:drawing>
          <wp:inline distT="0" distB="0" distL="114300" distR="114300">
            <wp:extent cx="2819400" cy="2638425"/>
            <wp:effectExtent l="0" t="0" r="0" b="133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a:srcRect l="5331" t="4126" r="9006" b="16130"/>
                    <a:stretch>
                      <a:fillRect/>
                    </a:stretch>
                  </pic:blipFill>
                  <pic:spPr>
                    <a:xfrm>
                      <a:off x="0" y="0"/>
                      <a:ext cx="2819400" cy="2638425"/>
                    </a:xfrm>
                    <a:prstGeom prst="rect">
                      <a:avLst/>
                    </a:prstGeom>
                    <a:noFill/>
                    <a:ln>
                      <a:noFill/>
                    </a:ln>
                  </pic:spPr>
                </pic:pic>
              </a:graphicData>
            </a:graphic>
          </wp:inline>
        </w:drawing>
      </w:r>
    </w:p>
    <w:p w14:paraId="4A089D09">
      <w:pPr>
        <w:ind w:firstLine="840" w:firstLineChars="400"/>
        <w:jc w:val="left"/>
        <w:rPr>
          <w:rFonts w:ascii="宋体" w:hAnsi="宋体"/>
        </w:rPr>
      </w:pPr>
      <w:r>
        <w:rPr>
          <w:rFonts w:ascii="宋体" w:hAnsi="宋体"/>
          <w:lang w:bidi="ar"/>
        </w:rPr>
        <w:t>H-建筑高度  D-建筑物后退城市规划道路交叉口的距离</w:t>
      </w:r>
    </w:p>
    <w:p w14:paraId="454C45A1">
      <w:pPr>
        <w:ind w:firstLine="840" w:firstLineChars="400"/>
        <w:jc w:val="left"/>
        <w:rPr>
          <w:rFonts w:ascii="宋体" w:hAnsi="宋体"/>
        </w:rPr>
      </w:pPr>
      <w:r>
        <w:rPr>
          <w:rFonts w:ascii="宋体" w:hAnsi="宋体"/>
          <w:lang w:bidi="ar"/>
        </w:rPr>
        <w:t>当H≤20m时，D≥20m;当H＞20m时，D≥30m</w:t>
      </w:r>
    </w:p>
    <w:p w14:paraId="26860361">
      <w:pPr>
        <w:spacing w:after="100" w:afterAutospacing="1"/>
        <w:jc w:val="center"/>
        <w:rPr>
          <w:rFonts w:eastAsia="仿宋_GB2312"/>
          <w:szCs w:val="20"/>
        </w:rPr>
      </w:pPr>
    </w:p>
    <w:p w14:paraId="4476565B">
      <w:pPr>
        <w:rPr>
          <w:rFonts w:eastAsia="黑体"/>
          <w:sz w:val="28"/>
          <w:szCs w:val="28"/>
          <w:lang w:bidi="ar"/>
        </w:rPr>
      </w:pPr>
      <w:r>
        <w:rPr>
          <w:rFonts w:eastAsia="黑体"/>
          <w:sz w:val="28"/>
          <w:szCs w:val="28"/>
          <w:lang w:bidi="ar"/>
        </w:rPr>
        <w:t>附图6—3</w:t>
      </w:r>
    </w:p>
    <w:p w14:paraId="7DEDAA67">
      <w:pPr>
        <w:autoSpaceDE w:val="0"/>
        <w:autoSpaceDN w:val="0"/>
        <w:adjustRightInd w:val="0"/>
        <w:jc w:val="center"/>
        <w:rPr>
          <w:rFonts w:eastAsia="黑体"/>
          <w:sz w:val="28"/>
          <w:szCs w:val="28"/>
          <w:lang w:bidi="ar"/>
        </w:rPr>
      </w:pPr>
    </w:p>
    <w:p w14:paraId="0D21476F">
      <w:pPr>
        <w:autoSpaceDE w:val="0"/>
        <w:autoSpaceDN w:val="0"/>
        <w:adjustRightInd w:val="0"/>
        <w:jc w:val="center"/>
        <w:rPr>
          <w:rFonts w:eastAsia="黑体"/>
          <w:sz w:val="28"/>
          <w:szCs w:val="28"/>
          <w:lang w:bidi="ar"/>
        </w:rPr>
      </w:pPr>
      <w:r>
        <w:rPr>
          <w:rFonts w:eastAsia="黑体"/>
          <w:sz w:val="28"/>
          <w:szCs w:val="28"/>
          <w:lang w:bidi="ar"/>
        </w:rPr>
        <w:t>建筑物退让</w:t>
      </w:r>
      <w:r>
        <w:rPr>
          <w:rFonts w:eastAsia="黑体"/>
          <w:bCs/>
          <w:sz w:val="28"/>
          <w:szCs w:val="28"/>
          <w:lang w:bidi="ar"/>
        </w:rPr>
        <w:t>人行天桥</w:t>
      </w:r>
      <w:r>
        <w:rPr>
          <w:rFonts w:eastAsia="黑体"/>
          <w:sz w:val="28"/>
          <w:szCs w:val="28"/>
          <w:lang w:bidi="ar"/>
        </w:rPr>
        <w:t>示意图</w:t>
      </w:r>
    </w:p>
    <w:p w14:paraId="2BDCCC3D">
      <w:pPr>
        <w:autoSpaceDE w:val="0"/>
        <w:autoSpaceDN w:val="0"/>
        <w:adjustRightInd w:val="0"/>
        <w:jc w:val="center"/>
        <w:rPr>
          <w:rFonts w:eastAsia="仿宋_GB2312"/>
          <w:b/>
          <w:szCs w:val="20"/>
        </w:rPr>
      </w:pPr>
    </w:p>
    <w:p w14:paraId="10998083">
      <w:pPr>
        <w:spacing w:after="100" w:afterAutospacing="1"/>
        <w:jc w:val="center"/>
        <w:rPr>
          <w:rFonts w:eastAsia="仿宋_GB2312"/>
          <w:szCs w:val="20"/>
        </w:rPr>
      </w:pPr>
      <w:r>
        <w:rPr>
          <w:rFonts w:eastAsia="仿宋_GB2312"/>
          <w:szCs w:val="20"/>
          <w:lang w:bidi="ar"/>
        </w:rPr>
        <w:drawing>
          <wp:inline distT="0" distB="0" distL="114300" distR="114300">
            <wp:extent cx="3418205" cy="4144645"/>
            <wp:effectExtent l="0" t="0" r="10795" b="63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0"/>
                    <a:srcRect l="6319" t="2141" r="5353" b="4970"/>
                    <a:stretch>
                      <a:fillRect/>
                    </a:stretch>
                  </pic:blipFill>
                  <pic:spPr>
                    <a:xfrm>
                      <a:off x="0" y="0"/>
                      <a:ext cx="3418205" cy="4144645"/>
                    </a:xfrm>
                    <a:prstGeom prst="rect">
                      <a:avLst/>
                    </a:prstGeom>
                    <a:noFill/>
                    <a:ln>
                      <a:noFill/>
                    </a:ln>
                  </pic:spPr>
                </pic:pic>
              </a:graphicData>
            </a:graphic>
          </wp:inline>
        </w:drawing>
      </w:r>
    </w:p>
    <w:p w14:paraId="6B8A2340">
      <w:pPr>
        <w:ind w:firstLine="840" w:firstLineChars="400"/>
        <w:jc w:val="left"/>
        <w:rPr>
          <w:rFonts w:ascii="宋体" w:hAnsi="宋体"/>
        </w:rPr>
      </w:pPr>
      <w:r>
        <w:rPr>
          <w:rFonts w:ascii="宋体" w:hAnsi="宋体"/>
          <w:lang w:bidi="ar"/>
        </w:rPr>
        <w:t>D-建筑物突出部分后退人行天桥结构外边缘的距离D≥7m</w:t>
      </w:r>
    </w:p>
    <w:p w14:paraId="3913DD0C">
      <w:pPr>
        <w:spacing w:line="400" w:lineRule="exact"/>
        <w:ind w:firstLine="840" w:firstLineChars="400"/>
        <w:jc w:val="left"/>
        <w:rPr>
          <w:rFonts w:ascii="宋体" w:hAnsi="宋体"/>
        </w:rPr>
      </w:pPr>
    </w:p>
    <w:p w14:paraId="2861FD36">
      <w:pPr>
        <w:rPr>
          <w:rFonts w:eastAsia="黑体"/>
          <w:sz w:val="28"/>
          <w:szCs w:val="28"/>
          <w:lang w:bidi="ar"/>
        </w:rPr>
      </w:pPr>
      <w:r>
        <w:rPr>
          <w:rFonts w:eastAsia="黑体"/>
          <w:sz w:val="28"/>
          <w:szCs w:val="28"/>
          <w:lang w:bidi="ar"/>
        </w:rPr>
        <w:t xml:space="preserve">附图7—1 </w:t>
      </w:r>
    </w:p>
    <w:p w14:paraId="5D97DF99">
      <w:pPr>
        <w:autoSpaceDE w:val="0"/>
        <w:autoSpaceDN w:val="0"/>
        <w:adjustRightInd w:val="0"/>
        <w:jc w:val="center"/>
        <w:rPr>
          <w:rFonts w:eastAsia="仿宋_GB2312"/>
          <w:b/>
          <w:szCs w:val="20"/>
        </w:rPr>
      </w:pPr>
      <w:r>
        <w:rPr>
          <w:rFonts w:eastAsia="黑体"/>
          <w:sz w:val="28"/>
          <w:szCs w:val="28"/>
          <w:lang w:bidi="ar"/>
        </w:rPr>
        <w:t>用地出入口距离道路交叉口关系图</w:t>
      </w:r>
    </w:p>
    <w:p w14:paraId="6017D32B">
      <w:pPr>
        <w:spacing w:line="100" w:lineRule="exact"/>
        <w:jc w:val="center"/>
        <w:rPr>
          <w:rFonts w:eastAsia="仿宋_GB2312"/>
          <w:bCs/>
        </w:rPr>
      </w:pPr>
    </w:p>
    <w:p w14:paraId="34013631">
      <w:pPr>
        <w:spacing w:line="300" w:lineRule="auto"/>
        <w:jc w:val="center"/>
        <w:rPr>
          <w:rFonts w:eastAsia="仿宋_GB2312"/>
          <w:bCs/>
        </w:rPr>
      </w:pPr>
      <w:r>
        <w:rPr>
          <w:rFonts w:eastAsia="仿宋_GB2312"/>
          <w:bCs/>
        </w:rPr>
        <w:drawing>
          <wp:inline distT="0" distB="0" distL="114300" distR="114300">
            <wp:extent cx="4473575" cy="2059940"/>
            <wp:effectExtent l="0" t="0" r="6985" b="12700"/>
            <wp:docPr id="10"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图片1"/>
                    <pic:cNvPicPr>
                      <a:picLocks noChangeAspect="1"/>
                    </pic:cNvPicPr>
                  </pic:nvPicPr>
                  <pic:blipFill>
                    <a:blip r:embed="rId21"/>
                    <a:stretch>
                      <a:fillRect/>
                    </a:stretch>
                  </pic:blipFill>
                  <pic:spPr>
                    <a:xfrm>
                      <a:off x="0" y="0"/>
                      <a:ext cx="4473575" cy="2059940"/>
                    </a:xfrm>
                    <a:prstGeom prst="rect">
                      <a:avLst/>
                    </a:prstGeom>
                    <a:noFill/>
                    <a:ln>
                      <a:noFill/>
                    </a:ln>
                  </pic:spPr>
                </pic:pic>
              </a:graphicData>
            </a:graphic>
          </wp:inline>
        </w:drawing>
      </w:r>
    </w:p>
    <w:p w14:paraId="491606A2">
      <w:pPr>
        <w:spacing w:line="300" w:lineRule="auto"/>
        <w:rPr>
          <w:rFonts w:eastAsia="仿宋_GB2312"/>
          <w:bCs/>
          <w:lang w:bidi="ar"/>
        </w:rPr>
        <w:sectPr>
          <w:footerReference r:id="rId6" w:type="first"/>
          <w:headerReference r:id="rId3" w:type="default"/>
          <w:footerReference r:id="rId4" w:type="default"/>
          <w:footerReference r:id="rId5" w:type="even"/>
          <w:pgSz w:w="11915" w:h="16840"/>
          <w:pgMar w:top="2041" w:right="1531" w:bottom="1814" w:left="1531" w:header="851" w:footer="1361" w:gutter="0"/>
          <w:pgNumType w:fmt="numberInDash" w:start="1"/>
          <w:cols w:space="720" w:num="1"/>
          <w:docGrid w:linePitch="326" w:charSpace="0"/>
        </w:sectPr>
      </w:pPr>
    </w:p>
    <w:p w14:paraId="437861C1">
      <w:pPr>
        <w:rPr>
          <w:rFonts w:eastAsia="黑体"/>
          <w:sz w:val="28"/>
          <w:szCs w:val="28"/>
          <w:lang w:bidi="ar"/>
        </w:rPr>
      </w:pPr>
      <w:r>
        <w:rPr>
          <w:rFonts w:eastAsia="黑体"/>
          <w:sz w:val="28"/>
          <w:szCs w:val="28"/>
          <w:lang w:bidi="ar"/>
        </w:rPr>
        <w:t>附表6—1</w:t>
      </w:r>
    </w:p>
    <w:p w14:paraId="499A045E">
      <w:pPr>
        <w:autoSpaceDE w:val="0"/>
        <w:autoSpaceDN w:val="0"/>
        <w:adjustRightInd w:val="0"/>
        <w:jc w:val="center"/>
        <w:rPr>
          <w:rFonts w:eastAsia="仿宋_GB2312"/>
          <w:b/>
          <w:szCs w:val="20"/>
        </w:rPr>
      </w:pPr>
      <w:r>
        <w:rPr>
          <w:rFonts w:eastAsia="仿宋_GB2312"/>
        </w:rPr>
        <mc:AlternateContent>
          <mc:Choice Requires="wpg">
            <w:drawing>
              <wp:anchor distT="0" distB="0" distL="114300" distR="114300" simplePos="0" relativeHeight="251659264" behindDoc="0" locked="0" layoutInCell="1" allowOverlap="1">
                <wp:simplePos x="0" y="0"/>
                <wp:positionH relativeFrom="column">
                  <wp:posOffset>-194945</wp:posOffset>
                </wp:positionH>
                <wp:positionV relativeFrom="paragraph">
                  <wp:posOffset>455295</wp:posOffset>
                </wp:positionV>
                <wp:extent cx="1833245" cy="679450"/>
                <wp:effectExtent l="0" t="0" r="0" b="0"/>
                <wp:wrapNone/>
                <wp:docPr id="7" name="组合 7"/>
                <wp:cNvGraphicFramePr/>
                <a:graphic xmlns:a="http://schemas.openxmlformats.org/drawingml/2006/main">
                  <a:graphicData uri="http://schemas.microsoft.com/office/word/2010/wordprocessingGroup">
                    <wpg:wgp>
                      <wpg:cNvGrpSpPr/>
                      <wpg:grpSpPr>
                        <a:xfrm>
                          <a:off x="0" y="0"/>
                          <a:ext cx="1833245" cy="679450"/>
                          <a:chOff x="1260" y="2876"/>
                          <a:chExt cx="2887" cy="1070"/>
                        </a:xfrm>
                      </wpg:grpSpPr>
                      <wps:wsp>
                        <wps:cNvPr id="1" name="矩形 1"/>
                        <wps:cNvSpPr>
                          <a:spLocks noChangeAspect="1" noTextEdit="1"/>
                        </wps:cNvSpPr>
                        <wps:spPr>
                          <a:xfrm>
                            <a:off x="1394" y="2876"/>
                            <a:ext cx="2700" cy="1070"/>
                          </a:xfrm>
                          <a:prstGeom prst="rect">
                            <a:avLst/>
                          </a:prstGeom>
                          <a:noFill/>
                          <a:ln>
                            <a:noFill/>
                          </a:ln>
                        </wps:spPr>
                        <wps:bodyPr upright="1"/>
                      </wps:wsp>
                      <wps:wsp>
                        <wps:cNvPr id="2" name="文本框 2"/>
                        <wps:cNvSpPr txBox="1"/>
                        <wps:spPr>
                          <a:xfrm>
                            <a:off x="2167" y="3444"/>
                            <a:ext cx="1620" cy="336"/>
                          </a:xfrm>
                          <a:prstGeom prst="rect">
                            <a:avLst/>
                          </a:prstGeom>
                          <a:solidFill>
                            <a:srgbClr val="FFFFFF"/>
                          </a:solidFill>
                          <a:ln>
                            <a:noFill/>
                          </a:ln>
                        </wps:spPr>
                        <wps:txbx>
                          <w:txbxContent>
                            <w:p w14:paraId="2B65EC83">
                              <w:pPr>
                                <w:rPr>
                                  <w:rFonts w:hint="eastAsia" w:ascii="黑体" w:eastAsia="黑体"/>
                                  <w:sz w:val="18"/>
                                  <w:szCs w:val="18"/>
                                </w:rPr>
                              </w:pPr>
                              <w:r>
                                <w:rPr>
                                  <w:rFonts w:hint="eastAsia" w:ascii="黑体" w:eastAsia="黑体"/>
                                  <w:bCs/>
                                  <w:sz w:val="18"/>
                                  <w:szCs w:val="18"/>
                                  <w:lang w:bidi="ar"/>
                                </w:rPr>
                                <w:t xml:space="preserve">  </w:t>
                              </w:r>
                              <w:r>
                                <w:rPr>
                                  <w:rFonts w:hint="eastAsia" w:ascii="黑体" w:eastAsia="黑体" w:cs="宋体"/>
                                  <w:bCs/>
                                  <w:sz w:val="18"/>
                                  <w:szCs w:val="18"/>
                                  <w:lang w:bidi="ar"/>
                                </w:rPr>
                                <w:t>退让</w:t>
                              </w:r>
                              <w:r>
                                <w:rPr>
                                  <w:rFonts w:hint="eastAsia" w:ascii="黑体" w:eastAsia="黑体" w:cs="宋体"/>
                                  <w:sz w:val="18"/>
                                  <w:szCs w:val="18"/>
                                  <w:lang w:bidi="ar"/>
                                </w:rPr>
                                <w:t>距离（米）</w:t>
                              </w:r>
                            </w:p>
                          </w:txbxContent>
                        </wps:txbx>
                        <wps:bodyPr upright="1"/>
                      </wps:wsp>
                      <wps:wsp>
                        <wps:cNvPr id="3" name="直接连接符 3"/>
                        <wps:cNvCnPr/>
                        <wps:spPr>
                          <a:xfrm>
                            <a:off x="1458" y="2925"/>
                            <a:ext cx="2502" cy="543"/>
                          </a:xfrm>
                          <a:prstGeom prst="line">
                            <a:avLst/>
                          </a:prstGeom>
                          <a:ln w="3175" cap="flat" cmpd="sng">
                            <a:solidFill>
                              <a:srgbClr val="000000"/>
                            </a:solidFill>
                            <a:prstDash val="solid"/>
                            <a:headEnd type="none" w="med" len="med"/>
                            <a:tailEnd type="none" w="med" len="med"/>
                          </a:ln>
                        </wps:spPr>
                        <wps:bodyPr upright="1"/>
                      </wps:wsp>
                      <wps:wsp>
                        <wps:cNvPr id="4" name="文本框 4"/>
                        <wps:cNvSpPr txBox="1"/>
                        <wps:spPr>
                          <a:xfrm>
                            <a:off x="3067" y="2999"/>
                            <a:ext cx="1080" cy="468"/>
                          </a:xfrm>
                          <a:prstGeom prst="rect">
                            <a:avLst/>
                          </a:prstGeom>
                          <a:solidFill>
                            <a:srgbClr val="FFFFFF">
                              <a:alpha val="0"/>
                            </a:srgbClr>
                          </a:solidFill>
                          <a:ln>
                            <a:noFill/>
                          </a:ln>
                        </wps:spPr>
                        <wps:txbx>
                          <w:txbxContent>
                            <w:p w14:paraId="7854BDDC">
                              <w:pPr>
                                <w:rPr>
                                  <w:rFonts w:hint="eastAsia" w:ascii="黑体" w:eastAsia="黑体"/>
                                  <w:sz w:val="18"/>
                                  <w:szCs w:val="18"/>
                                </w:rPr>
                              </w:pPr>
                              <w:r>
                                <w:rPr>
                                  <w:rFonts w:hint="eastAsia" w:ascii="黑体" w:eastAsia="黑体" w:cs="宋体"/>
                                  <w:sz w:val="18"/>
                                  <w:szCs w:val="18"/>
                                  <w:lang w:bidi="ar"/>
                                </w:rPr>
                                <w:t>道路宽度</w:t>
                              </w:r>
                            </w:p>
                          </w:txbxContent>
                        </wps:txbx>
                        <wps:bodyPr upright="1"/>
                      </wps:wsp>
                      <wps:wsp>
                        <wps:cNvPr id="5" name="直接连接符 5"/>
                        <wps:cNvCnPr/>
                        <wps:spPr>
                          <a:xfrm>
                            <a:off x="1499" y="2957"/>
                            <a:ext cx="1021" cy="874"/>
                          </a:xfrm>
                          <a:prstGeom prst="line">
                            <a:avLst/>
                          </a:prstGeom>
                          <a:ln w="3175" cap="flat" cmpd="sng">
                            <a:solidFill>
                              <a:srgbClr val="000000"/>
                            </a:solidFill>
                            <a:prstDash val="solid"/>
                            <a:headEnd type="none" w="med" len="med"/>
                            <a:tailEnd type="none" w="med" len="med"/>
                          </a:ln>
                        </wps:spPr>
                        <wps:bodyPr upright="1"/>
                      </wps:wsp>
                      <wps:wsp>
                        <wps:cNvPr id="6" name="文本框 6"/>
                        <wps:cNvSpPr txBox="1"/>
                        <wps:spPr>
                          <a:xfrm>
                            <a:off x="1260" y="3468"/>
                            <a:ext cx="1017" cy="360"/>
                          </a:xfrm>
                          <a:prstGeom prst="rect">
                            <a:avLst/>
                          </a:prstGeom>
                          <a:solidFill>
                            <a:srgbClr val="FFFFFF">
                              <a:alpha val="0"/>
                            </a:srgbClr>
                          </a:solidFill>
                          <a:ln>
                            <a:noFill/>
                          </a:ln>
                        </wps:spPr>
                        <wps:txbx>
                          <w:txbxContent>
                            <w:p w14:paraId="7A7D4864">
                              <w:pPr>
                                <w:rPr>
                                  <w:rFonts w:hint="eastAsia" w:ascii="黑体" w:eastAsia="黑体"/>
                                  <w:sz w:val="18"/>
                                  <w:szCs w:val="18"/>
                                </w:rPr>
                              </w:pPr>
                              <w:r>
                                <w:rPr>
                                  <w:rFonts w:hint="eastAsia" w:ascii="黑体" w:eastAsia="黑体" w:cs="宋体"/>
                                  <w:sz w:val="18"/>
                                  <w:szCs w:val="18"/>
                                  <w:lang w:bidi="ar"/>
                                </w:rPr>
                                <w:t>建筑高度</w:t>
                              </w:r>
                            </w:p>
                          </w:txbxContent>
                        </wps:txbx>
                        <wps:bodyPr upright="1"/>
                      </wps:wsp>
                    </wpg:wgp>
                  </a:graphicData>
                </a:graphic>
              </wp:anchor>
            </w:drawing>
          </mc:Choice>
          <mc:Fallback>
            <w:pict>
              <v:group id="_x0000_s1026" o:spid="_x0000_s1026" o:spt="203" style="position:absolute;left:0pt;margin-left:-15.35pt;margin-top:35.85pt;height:53.5pt;width:144.35pt;z-index:251659264;mso-width-relative:page;mso-height-relative:page;" coordorigin="1260,2876" coordsize="2887,1070" o:gfxdata="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">
                <o:lock v:ext="edit" aspectratio="f"/>
                <v:rect id="_x0000_s1026" o:spid="_x0000_s1026" o:spt="1" style="position:absolute;left:1394;top:2876;height:1070;width:2700;"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text="t" aspectratio="t"/>
                </v:rect>
                <v:shape id="_x0000_s1026" o:spid="_x0000_s1026" o:spt="202" type="#_x0000_t202" style="position:absolute;left:2167;top:3444;height:336;width:1620;" fillcolor="#FFFFFF" filled="t" stroked="f" coordsize="21600,21600" o:gfxdata="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t8fr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2B65EC83">
                        <w:pPr>
                          <w:rPr>
                            <w:rFonts w:hint="eastAsia" w:ascii="黑体" w:eastAsia="黑体"/>
                            <w:sz w:val="18"/>
                            <w:szCs w:val="18"/>
                          </w:rPr>
                        </w:pPr>
                        <w:r>
                          <w:rPr>
                            <w:rFonts w:hint="eastAsia" w:ascii="黑体" w:eastAsia="黑体"/>
                            <w:bCs/>
                            <w:sz w:val="18"/>
                            <w:szCs w:val="18"/>
                            <w:lang w:bidi="ar"/>
                          </w:rPr>
                          <w:t xml:space="preserve">  </w:t>
                        </w:r>
                        <w:r>
                          <w:rPr>
                            <w:rFonts w:hint="eastAsia" w:ascii="黑体" w:eastAsia="黑体" w:cs="宋体"/>
                            <w:bCs/>
                            <w:sz w:val="18"/>
                            <w:szCs w:val="18"/>
                            <w:lang w:bidi="ar"/>
                          </w:rPr>
                          <w:t>退让</w:t>
                        </w:r>
                        <w:r>
                          <w:rPr>
                            <w:rFonts w:hint="eastAsia" w:ascii="黑体" w:eastAsia="黑体" w:cs="宋体"/>
                            <w:sz w:val="18"/>
                            <w:szCs w:val="18"/>
                            <w:lang w:bidi="ar"/>
                          </w:rPr>
                          <w:t>距离（米）</w:t>
                        </w:r>
                      </w:p>
                    </w:txbxContent>
                  </v:textbox>
                </v:shape>
                <v:line id="_x0000_s1026" o:spid="_x0000_s1026" o:spt="20" style="position:absolute;left:1458;top:2925;height:543;width:2502;" filled="f" stroked="t" coordsize="21600,21600" o:gfxdata="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gKkbvQAA&#10;ANo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shape id="_x0000_s1026" o:spid="_x0000_s1026" o:spt="202" type="#_x0000_t202" style="position:absolute;left:3067;top:2999;height:468;width:1080;" fillcolor="#FFFFFF" filled="t" stroked="f" coordsize="21600,21600" o:gfxdata="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PIkbsAAADa&#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14:paraId="7854BDDC">
                        <w:pPr>
                          <w:rPr>
                            <w:rFonts w:hint="eastAsia" w:ascii="黑体" w:eastAsia="黑体"/>
                            <w:sz w:val="18"/>
                            <w:szCs w:val="18"/>
                          </w:rPr>
                        </w:pPr>
                        <w:r>
                          <w:rPr>
                            <w:rFonts w:hint="eastAsia" w:ascii="黑体" w:eastAsia="黑体" w:cs="宋体"/>
                            <w:sz w:val="18"/>
                            <w:szCs w:val="18"/>
                            <w:lang w:bidi="ar"/>
                          </w:rPr>
                          <w:t>道路宽度</w:t>
                        </w:r>
                      </w:p>
                    </w:txbxContent>
                  </v:textbox>
                </v:shape>
                <v:line id="_x0000_s1026" o:spid="_x0000_s1026" o:spt="20" style="position:absolute;left:1499;top:2957;height:874;width:1021;" filled="f" stroked="t" coordsize="21600,21600" o:gfxdata="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JZT0vQAA&#10;ANo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shape id="_x0000_s1026" o:spid="_x0000_s1026" o:spt="202" type="#_x0000_t202" style="position:absolute;left:1260;top:3468;height:360;width:1017;" fillcolor="#FFFFFF" filled="t" stroked="f" coordsize="21600,21600" o:gfxdata="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3zfbsAAADa&#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14:paraId="7A7D4864">
                        <w:pPr>
                          <w:rPr>
                            <w:rFonts w:hint="eastAsia" w:ascii="黑体" w:eastAsia="黑体"/>
                            <w:sz w:val="18"/>
                            <w:szCs w:val="18"/>
                          </w:rPr>
                        </w:pPr>
                        <w:r>
                          <w:rPr>
                            <w:rFonts w:hint="eastAsia" w:ascii="黑体" w:eastAsia="黑体" w:cs="宋体"/>
                            <w:sz w:val="18"/>
                            <w:szCs w:val="18"/>
                            <w:lang w:bidi="ar"/>
                          </w:rPr>
                          <w:t>建筑高度</w:t>
                        </w:r>
                      </w:p>
                    </w:txbxContent>
                  </v:textbox>
                </v:shape>
              </v:group>
            </w:pict>
          </mc:Fallback>
        </mc:AlternateContent>
      </w:r>
      <w:r>
        <w:rPr>
          <w:rFonts w:eastAsia="黑体"/>
          <w:sz w:val="28"/>
          <w:szCs w:val="28"/>
          <w:lang w:bidi="ar"/>
        </w:rPr>
        <w:t>不同道路宽度两侧的建筑物</w:t>
      </w:r>
      <w:r>
        <w:rPr>
          <w:rFonts w:eastAsia="黑体"/>
          <w:bCs/>
          <w:sz w:val="28"/>
          <w:szCs w:val="28"/>
          <w:lang w:bidi="ar"/>
        </w:rPr>
        <w:t>退让</w:t>
      </w:r>
      <w:r>
        <w:rPr>
          <w:rFonts w:eastAsia="黑体"/>
          <w:sz w:val="28"/>
          <w:szCs w:val="28"/>
          <w:lang w:bidi="ar"/>
        </w:rPr>
        <w:t>距离（单位：m）</w:t>
      </w:r>
    </w:p>
    <w:tbl>
      <w:tblPr>
        <w:tblStyle w:val="7"/>
        <w:tblpPr w:leftFromText="180" w:rightFromText="180" w:vertAnchor="text" w:horzAnchor="margin" w:tblpXSpec="center" w:tblpY="36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28"/>
        <w:gridCol w:w="1644"/>
        <w:gridCol w:w="1780"/>
        <w:gridCol w:w="1780"/>
        <w:gridCol w:w="1321"/>
      </w:tblGrid>
      <w:tr w14:paraId="6743AB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5" w:hRule="atLeast"/>
        </w:trPr>
        <w:tc>
          <w:tcPr>
            <w:tcW w:w="2628" w:type="dxa"/>
            <w:tcBorders>
              <w:top w:val="single" w:color="auto" w:sz="12" w:space="0"/>
              <w:left w:val="single" w:color="auto" w:sz="12" w:space="0"/>
              <w:bottom w:val="single" w:color="auto" w:sz="6" w:space="0"/>
              <w:right w:val="single" w:color="auto" w:sz="6" w:space="0"/>
            </w:tcBorders>
            <w:noWrap w:val="0"/>
            <w:vAlign w:val="center"/>
          </w:tcPr>
          <w:p w14:paraId="2F31C173">
            <w:pPr>
              <w:spacing w:after="100" w:afterAutospacing="1" w:line="400" w:lineRule="exact"/>
              <w:ind w:right="105" w:rightChars="50"/>
            </w:pPr>
          </w:p>
        </w:tc>
        <w:tc>
          <w:tcPr>
            <w:tcW w:w="1644" w:type="dxa"/>
            <w:tcBorders>
              <w:top w:val="single" w:color="auto" w:sz="12" w:space="0"/>
              <w:left w:val="single" w:color="auto" w:sz="6" w:space="0"/>
              <w:bottom w:val="single" w:color="auto" w:sz="6" w:space="0"/>
              <w:right w:val="single" w:color="auto" w:sz="6" w:space="0"/>
            </w:tcBorders>
            <w:noWrap w:val="0"/>
            <w:vAlign w:val="center"/>
          </w:tcPr>
          <w:p w14:paraId="388A080F">
            <w:pPr>
              <w:widowControl/>
              <w:jc w:val="center"/>
              <w:rPr>
                <w:rFonts w:hint="eastAsia" w:ascii="黑体" w:eastAsia="黑体"/>
              </w:rPr>
            </w:pPr>
            <w:r>
              <w:rPr>
                <w:rFonts w:hint="eastAsia" w:ascii="黑体" w:eastAsia="黑体"/>
                <w:lang w:bidi="ar"/>
              </w:rPr>
              <w:t>L≥40米</w:t>
            </w:r>
          </w:p>
        </w:tc>
        <w:tc>
          <w:tcPr>
            <w:tcW w:w="1780" w:type="dxa"/>
            <w:tcBorders>
              <w:top w:val="single" w:color="auto" w:sz="12" w:space="0"/>
              <w:left w:val="single" w:color="auto" w:sz="6" w:space="0"/>
              <w:bottom w:val="single" w:color="auto" w:sz="6" w:space="0"/>
              <w:right w:val="single" w:color="auto" w:sz="6" w:space="0"/>
            </w:tcBorders>
            <w:noWrap w:val="0"/>
            <w:vAlign w:val="center"/>
          </w:tcPr>
          <w:p w14:paraId="7E622291">
            <w:pPr>
              <w:widowControl/>
              <w:jc w:val="center"/>
              <w:rPr>
                <w:rFonts w:hint="eastAsia" w:ascii="黑体" w:eastAsia="黑体"/>
              </w:rPr>
            </w:pPr>
            <w:r>
              <w:rPr>
                <w:rFonts w:hint="eastAsia" w:ascii="黑体" w:eastAsia="黑体"/>
                <w:lang w:bidi="ar"/>
              </w:rPr>
              <w:t>40米&gt;L≥25米</w:t>
            </w:r>
          </w:p>
        </w:tc>
        <w:tc>
          <w:tcPr>
            <w:tcW w:w="1780" w:type="dxa"/>
            <w:tcBorders>
              <w:top w:val="single" w:color="auto" w:sz="12" w:space="0"/>
              <w:left w:val="single" w:color="auto" w:sz="6" w:space="0"/>
              <w:bottom w:val="single" w:color="auto" w:sz="6" w:space="0"/>
              <w:right w:val="single" w:color="auto" w:sz="6" w:space="0"/>
            </w:tcBorders>
            <w:noWrap w:val="0"/>
            <w:vAlign w:val="center"/>
          </w:tcPr>
          <w:p w14:paraId="653EA8BC">
            <w:pPr>
              <w:widowControl/>
              <w:jc w:val="center"/>
              <w:rPr>
                <w:rFonts w:hint="eastAsia" w:ascii="黑体" w:eastAsia="黑体"/>
              </w:rPr>
            </w:pPr>
            <w:r>
              <w:rPr>
                <w:rFonts w:hint="eastAsia" w:ascii="黑体" w:eastAsia="黑体"/>
                <w:lang w:bidi="ar"/>
              </w:rPr>
              <w:t>25米&gt;L≥15米</w:t>
            </w:r>
          </w:p>
        </w:tc>
        <w:tc>
          <w:tcPr>
            <w:tcW w:w="1321" w:type="dxa"/>
            <w:tcBorders>
              <w:top w:val="single" w:color="auto" w:sz="12" w:space="0"/>
              <w:left w:val="single" w:color="auto" w:sz="6" w:space="0"/>
              <w:bottom w:val="single" w:color="auto" w:sz="6" w:space="0"/>
              <w:right w:val="single" w:color="auto" w:sz="12" w:space="0"/>
            </w:tcBorders>
            <w:noWrap w:val="0"/>
            <w:vAlign w:val="center"/>
          </w:tcPr>
          <w:p w14:paraId="58875F9E">
            <w:pPr>
              <w:widowControl/>
              <w:jc w:val="center"/>
              <w:rPr>
                <w:rFonts w:hint="eastAsia" w:ascii="黑体" w:eastAsia="黑体"/>
              </w:rPr>
            </w:pPr>
            <w:r>
              <w:rPr>
                <w:rFonts w:hint="eastAsia" w:ascii="黑体" w:eastAsia="黑体"/>
                <w:lang w:bidi="ar"/>
              </w:rPr>
              <w:t>L＜15米</w:t>
            </w:r>
          </w:p>
        </w:tc>
      </w:tr>
      <w:tr w14:paraId="76CE23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2628" w:type="dxa"/>
            <w:tcBorders>
              <w:top w:val="single" w:color="auto" w:sz="6" w:space="0"/>
              <w:left w:val="single" w:color="auto" w:sz="12" w:space="0"/>
              <w:bottom w:val="single" w:color="auto" w:sz="6" w:space="0"/>
              <w:right w:val="single" w:color="auto" w:sz="6" w:space="0"/>
            </w:tcBorders>
            <w:noWrap w:val="0"/>
            <w:vAlign w:val="center"/>
          </w:tcPr>
          <w:p w14:paraId="4EB16787">
            <w:pPr>
              <w:widowControl/>
              <w:jc w:val="center"/>
              <w:rPr>
                <w:rFonts w:ascii="宋体" w:hAnsi="宋体"/>
              </w:rPr>
            </w:pPr>
            <w:r>
              <w:rPr>
                <w:rFonts w:ascii="宋体" w:hAnsi="宋体"/>
                <w:lang w:bidi="ar"/>
              </w:rPr>
              <w:t>≤19米</w:t>
            </w:r>
          </w:p>
        </w:tc>
        <w:tc>
          <w:tcPr>
            <w:tcW w:w="1644" w:type="dxa"/>
            <w:tcBorders>
              <w:top w:val="single" w:color="auto" w:sz="6" w:space="0"/>
              <w:left w:val="single" w:color="auto" w:sz="6" w:space="0"/>
              <w:bottom w:val="single" w:color="auto" w:sz="6" w:space="0"/>
              <w:right w:val="single" w:color="auto" w:sz="6" w:space="0"/>
            </w:tcBorders>
            <w:noWrap w:val="0"/>
            <w:vAlign w:val="center"/>
          </w:tcPr>
          <w:p w14:paraId="796625AC">
            <w:pPr>
              <w:widowControl/>
              <w:jc w:val="center"/>
              <w:rPr>
                <w:rFonts w:ascii="宋体" w:hAnsi="宋体"/>
              </w:rPr>
            </w:pPr>
            <w:r>
              <w:rPr>
                <w:rFonts w:ascii="宋体" w:hAnsi="宋体"/>
                <w:lang w:bidi="ar"/>
              </w:rPr>
              <w:t>15</w:t>
            </w:r>
          </w:p>
        </w:tc>
        <w:tc>
          <w:tcPr>
            <w:tcW w:w="1780" w:type="dxa"/>
            <w:tcBorders>
              <w:top w:val="single" w:color="auto" w:sz="6" w:space="0"/>
              <w:left w:val="single" w:color="auto" w:sz="6" w:space="0"/>
              <w:bottom w:val="single" w:color="auto" w:sz="6" w:space="0"/>
              <w:right w:val="single" w:color="auto" w:sz="6" w:space="0"/>
            </w:tcBorders>
            <w:noWrap w:val="0"/>
            <w:vAlign w:val="center"/>
          </w:tcPr>
          <w:p w14:paraId="17D7305D">
            <w:pPr>
              <w:widowControl/>
              <w:jc w:val="center"/>
              <w:rPr>
                <w:rFonts w:ascii="宋体" w:hAnsi="宋体"/>
              </w:rPr>
            </w:pPr>
            <w:r>
              <w:rPr>
                <w:rFonts w:ascii="宋体" w:hAnsi="宋体"/>
                <w:lang w:bidi="ar"/>
              </w:rPr>
              <w:t>10</w:t>
            </w:r>
          </w:p>
        </w:tc>
        <w:tc>
          <w:tcPr>
            <w:tcW w:w="1780" w:type="dxa"/>
            <w:tcBorders>
              <w:top w:val="single" w:color="auto" w:sz="6" w:space="0"/>
              <w:left w:val="single" w:color="auto" w:sz="6" w:space="0"/>
              <w:bottom w:val="single" w:color="auto" w:sz="6" w:space="0"/>
              <w:right w:val="single" w:color="auto" w:sz="6" w:space="0"/>
            </w:tcBorders>
            <w:noWrap w:val="0"/>
            <w:vAlign w:val="center"/>
          </w:tcPr>
          <w:p w14:paraId="3C81CF7A">
            <w:pPr>
              <w:widowControl/>
              <w:jc w:val="center"/>
              <w:rPr>
                <w:rFonts w:ascii="宋体" w:hAnsi="宋体"/>
              </w:rPr>
            </w:pPr>
            <w:r>
              <w:rPr>
                <w:rFonts w:ascii="宋体" w:hAnsi="宋体"/>
                <w:lang w:bidi="ar"/>
              </w:rPr>
              <w:t>8</w:t>
            </w:r>
          </w:p>
        </w:tc>
        <w:tc>
          <w:tcPr>
            <w:tcW w:w="1321" w:type="dxa"/>
            <w:tcBorders>
              <w:top w:val="single" w:color="auto" w:sz="6" w:space="0"/>
              <w:left w:val="single" w:color="auto" w:sz="6" w:space="0"/>
              <w:bottom w:val="single" w:color="auto" w:sz="6" w:space="0"/>
              <w:right w:val="single" w:color="auto" w:sz="12" w:space="0"/>
            </w:tcBorders>
            <w:noWrap w:val="0"/>
            <w:vAlign w:val="center"/>
          </w:tcPr>
          <w:p w14:paraId="697A99E3">
            <w:pPr>
              <w:widowControl/>
              <w:jc w:val="center"/>
              <w:rPr>
                <w:rFonts w:ascii="宋体" w:hAnsi="宋体"/>
              </w:rPr>
            </w:pPr>
            <w:r>
              <w:rPr>
                <w:rFonts w:ascii="宋体" w:hAnsi="宋体"/>
                <w:lang w:bidi="ar"/>
              </w:rPr>
              <w:t>5</w:t>
            </w:r>
          </w:p>
        </w:tc>
      </w:tr>
      <w:tr w14:paraId="14143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2628" w:type="dxa"/>
            <w:tcBorders>
              <w:top w:val="single" w:color="auto" w:sz="6" w:space="0"/>
              <w:left w:val="single" w:color="auto" w:sz="12" w:space="0"/>
              <w:bottom w:val="single" w:color="auto" w:sz="6" w:space="0"/>
              <w:right w:val="single" w:color="auto" w:sz="6" w:space="0"/>
            </w:tcBorders>
            <w:noWrap w:val="0"/>
            <w:vAlign w:val="center"/>
          </w:tcPr>
          <w:p w14:paraId="4C512BAA">
            <w:pPr>
              <w:widowControl/>
              <w:jc w:val="center"/>
              <w:rPr>
                <w:rFonts w:ascii="宋体" w:hAnsi="宋体"/>
              </w:rPr>
            </w:pPr>
            <w:r>
              <w:rPr>
                <w:rFonts w:ascii="宋体" w:hAnsi="宋体"/>
                <w:lang w:bidi="ar"/>
              </w:rPr>
              <w:t>19米＜H≤60米</w:t>
            </w:r>
          </w:p>
        </w:tc>
        <w:tc>
          <w:tcPr>
            <w:tcW w:w="1644" w:type="dxa"/>
            <w:tcBorders>
              <w:top w:val="single" w:color="auto" w:sz="6" w:space="0"/>
              <w:left w:val="single" w:color="auto" w:sz="6" w:space="0"/>
              <w:bottom w:val="single" w:color="auto" w:sz="6" w:space="0"/>
              <w:right w:val="single" w:color="auto" w:sz="6" w:space="0"/>
            </w:tcBorders>
            <w:noWrap w:val="0"/>
            <w:vAlign w:val="center"/>
          </w:tcPr>
          <w:p w14:paraId="42269AC4">
            <w:pPr>
              <w:widowControl/>
              <w:jc w:val="center"/>
              <w:rPr>
                <w:rFonts w:ascii="宋体" w:hAnsi="宋体"/>
              </w:rPr>
            </w:pPr>
            <w:r>
              <w:rPr>
                <w:rFonts w:ascii="宋体" w:hAnsi="宋体"/>
                <w:lang w:bidi="ar"/>
              </w:rPr>
              <w:t>20</w:t>
            </w:r>
          </w:p>
        </w:tc>
        <w:tc>
          <w:tcPr>
            <w:tcW w:w="1780" w:type="dxa"/>
            <w:tcBorders>
              <w:top w:val="single" w:color="auto" w:sz="6" w:space="0"/>
              <w:left w:val="single" w:color="auto" w:sz="6" w:space="0"/>
              <w:bottom w:val="single" w:color="auto" w:sz="6" w:space="0"/>
              <w:right w:val="single" w:color="auto" w:sz="6" w:space="0"/>
            </w:tcBorders>
            <w:noWrap w:val="0"/>
            <w:vAlign w:val="center"/>
          </w:tcPr>
          <w:p w14:paraId="3F52452C">
            <w:pPr>
              <w:widowControl/>
              <w:jc w:val="center"/>
              <w:rPr>
                <w:rFonts w:ascii="宋体" w:hAnsi="宋体"/>
              </w:rPr>
            </w:pPr>
            <w:r>
              <w:rPr>
                <w:rFonts w:ascii="宋体" w:hAnsi="宋体"/>
                <w:lang w:bidi="ar"/>
              </w:rPr>
              <w:t>15</w:t>
            </w:r>
          </w:p>
        </w:tc>
        <w:tc>
          <w:tcPr>
            <w:tcW w:w="1780" w:type="dxa"/>
            <w:tcBorders>
              <w:top w:val="single" w:color="auto" w:sz="6" w:space="0"/>
              <w:left w:val="single" w:color="auto" w:sz="6" w:space="0"/>
              <w:bottom w:val="single" w:color="auto" w:sz="6" w:space="0"/>
              <w:right w:val="single" w:color="auto" w:sz="6" w:space="0"/>
            </w:tcBorders>
            <w:noWrap w:val="0"/>
            <w:vAlign w:val="center"/>
          </w:tcPr>
          <w:p w14:paraId="5BED127D">
            <w:pPr>
              <w:widowControl/>
              <w:jc w:val="center"/>
              <w:rPr>
                <w:rFonts w:ascii="宋体" w:hAnsi="宋体"/>
              </w:rPr>
            </w:pPr>
            <w:r>
              <w:rPr>
                <w:rFonts w:ascii="宋体" w:hAnsi="宋体"/>
                <w:lang w:bidi="ar"/>
              </w:rPr>
              <w:t>12</w:t>
            </w:r>
          </w:p>
        </w:tc>
        <w:tc>
          <w:tcPr>
            <w:tcW w:w="1321" w:type="dxa"/>
            <w:tcBorders>
              <w:top w:val="single" w:color="auto" w:sz="6" w:space="0"/>
              <w:left w:val="single" w:color="auto" w:sz="6" w:space="0"/>
              <w:bottom w:val="single" w:color="auto" w:sz="6" w:space="0"/>
              <w:right w:val="single" w:color="auto" w:sz="12" w:space="0"/>
            </w:tcBorders>
            <w:noWrap w:val="0"/>
            <w:vAlign w:val="center"/>
          </w:tcPr>
          <w:p w14:paraId="67F07BE5">
            <w:pPr>
              <w:widowControl/>
              <w:jc w:val="center"/>
              <w:rPr>
                <w:rFonts w:ascii="宋体" w:hAnsi="宋体"/>
              </w:rPr>
            </w:pPr>
            <w:r>
              <w:rPr>
                <w:rFonts w:ascii="宋体" w:hAnsi="宋体"/>
                <w:lang w:bidi="ar"/>
              </w:rPr>
              <w:t>8</w:t>
            </w:r>
          </w:p>
        </w:tc>
      </w:tr>
      <w:tr w14:paraId="63E9A6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2628" w:type="dxa"/>
            <w:tcBorders>
              <w:top w:val="single" w:color="auto" w:sz="6" w:space="0"/>
              <w:left w:val="single" w:color="auto" w:sz="12" w:space="0"/>
              <w:bottom w:val="single" w:color="auto" w:sz="12" w:space="0"/>
              <w:right w:val="single" w:color="auto" w:sz="6" w:space="0"/>
            </w:tcBorders>
            <w:noWrap w:val="0"/>
            <w:vAlign w:val="center"/>
          </w:tcPr>
          <w:p w14:paraId="2F2A0E4C">
            <w:pPr>
              <w:widowControl/>
              <w:jc w:val="center"/>
              <w:rPr>
                <w:rFonts w:ascii="宋体" w:hAnsi="宋体"/>
              </w:rPr>
            </w:pPr>
            <w:r>
              <w:rPr>
                <w:rFonts w:ascii="宋体" w:hAnsi="宋体"/>
                <w:lang w:bidi="ar"/>
              </w:rPr>
              <w:t>60米＜H≤100米</w:t>
            </w:r>
          </w:p>
        </w:tc>
        <w:tc>
          <w:tcPr>
            <w:tcW w:w="1644" w:type="dxa"/>
            <w:tcBorders>
              <w:top w:val="single" w:color="auto" w:sz="6" w:space="0"/>
              <w:left w:val="single" w:color="auto" w:sz="6" w:space="0"/>
              <w:bottom w:val="single" w:color="auto" w:sz="12" w:space="0"/>
              <w:right w:val="single" w:color="auto" w:sz="6" w:space="0"/>
            </w:tcBorders>
            <w:noWrap w:val="0"/>
            <w:vAlign w:val="center"/>
          </w:tcPr>
          <w:p w14:paraId="219C6463">
            <w:pPr>
              <w:widowControl/>
              <w:jc w:val="center"/>
              <w:rPr>
                <w:rFonts w:ascii="宋体" w:hAnsi="宋体"/>
              </w:rPr>
            </w:pPr>
            <w:r>
              <w:rPr>
                <w:rFonts w:ascii="宋体" w:hAnsi="宋体"/>
                <w:lang w:bidi="ar"/>
              </w:rPr>
              <w:t>25</w:t>
            </w:r>
          </w:p>
        </w:tc>
        <w:tc>
          <w:tcPr>
            <w:tcW w:w="1780" w:type="dxa"/>
            <w:tcBorders>
              <w:top w:val="single" w:color="auto" w:sz="6" w:space="0"/>
              <w:left w:val="single" w:color="auto" w:sz="6" w:space="0"/>
              <w:bottom w:val="single" w:color="auto" w:sz="12" w:space="0"/>
              <w:right w:val="single" w:color="auto" w:sz="6" w:space="0"/>
            </w:tcBorders>
            <w:noWrap w:val="0"/>
            <w:vAlign w:val="center"/>
          </w:tcPr>
          <w:p w14:paraId="4D9DC5AF">
            <w:pPr>
              <w:widowControl/>
              <w:jc w:val="center"/>
              <w:rPr>
                <w:rFonts w:ascii="宋体" w:hAnsi="宋体"/>
              </w:rPr>
            </w:pPr>
            <w:r>
              <w:rPr>
                <w:rFonts w:ascii="宋体" w:hAnsi="宋体"/>
                <w:lang w:bidi="ar"/>
              </w:rPr>
              <w:t>20</w:t>
            </w:r>
          </w:p>
        </w:tc>
        <w:tc>
          <w:tcPr>
            <w:tcW w:w="1780" w:type="dxa"/>
            <w:tcBorders>
              <w:top w:val="single" w:color="auto" w:sz="6" w:space="0"/>
              <w:left w:val="single" w:color="auto" w:sz="6" w:space="0"/>
              <w:bottom w:val="single" w:color="auto" w:sz="12" w:space="0"/>
              <w:right w:val="single" w:color="auto" w:sz="6" w:space="0"/>
            </w:tcBorders>
            <w:noWrap w:val="0"/>
            <w:vAlign w:val="center"/>
          </w:tcPr>
          <w:p w14:paraId="1885C901">
            <w:pPr>
              <w:widowControl/>
              <w:jc w:val="center"/>
              <w:rPr>
                <w:rFonts w:ascii="宋体" w:hAnsi="宋体"/>
              </w:rPr>
            </w:pPr>
            <w:r>
              <w:rPr>
                <w:rFonts w:ascii="宋体" w:hAnsi="宋体"/>
                <w:lang w:bidi="ar"/>
              </w:rPr>
              <w:t>15</w:t>
            </w:r>
          </w:p>
        </w:tc>
        <w:tc>
          <w:tcPr>
            <w:tcW w:w="1321" w:type="dxa"/>
            <w:tcBorders>
              <w:top w:val="single" w:color="auto" w:sz="6" w:space="0"/>
              <w:left w:val="single" w:color="auto" w:sz="6" w:space="0"/>
              <w:bottom w:val="single" w:color="auto" w:sz="12" w:space="0"/>
              <w:right w:val="single" w:color="auto" w:sz="12" w:space="0"/>
            </w:tcBorders>
            <w:noWrap w:val="0"/>
            <w:vAlign w:val="center"/>
          </w:tcPr>
          <w:p w14:paraId="2E7C0CE7">
            <w:pPr>
              <w:widowControl/>
              <w:jc w:val="center"/>
              <w:rPr>
                <w:rFonts w:ascii="宋体" w:hAnsi="宋体"/>
              </w:rPr>
            </w:pPr>
            <w:r>
              <w:rPr>
                <w:rFonts w:ascii="宋体" w:hAnsi="宋体"/>
                <w:lang w:bidi="ar"/>
              </w:rPr>
              <w:t>10</w:t>
            </w:r>
          </w:p>
        </w:tc>
      </w:tr>
    </w:tbl>
    <w:p w14:paraId="754AAE5B">
      <w:pPr>
        <w:snapToGrid w:val="0"/>
        <w:spacing w:before="120" w:beforeLines="50"/>
        <w:ind w:left="2" w:firstLine="560"/>
        <w:rPr>
          <w:rFonts w:eastAsia="仿宋_GB2312"/>
          <w:sz w:val="32"/>
          <w:szCs w:val="20"/>
        </w:rPr>
      </w:pPr>
    </w:p>
    <w:p w14:paraId="32FB437B">
      <w:pPr>
        <w:autoSpaceDE w:val="0"/>
        <w:autoSpaceDN w:val="0"/>
        <w:adjustRightInd w:val="0"/>
        <w:rPr>
          <w:rFonts w:eastAsia="黑体"/>
          <w:sz w:val="28"/>
          <w:szCs w:val="28"/>
          <w:lang w:bidi="ar"/>
        </w:rPr>
      </w:pPr>
      <w:r>
        <w:rPr>
          <w:rFonts w:eastAsia="黑体"/>
          <w:sz w:val="28"/>
          <w:szCs w:val="28"/>
          <w:lang w:bidi="ar"/>
        </w:rPr>
        <w:t>附表7—1</w:t>
      </w:r>
    </w:p>
    <w:p w14:paraId="36C15895">
      <w:pPr>
        <w:autoSpaceDE w:val="0"/>
        <w:autoSpaceDN w:val="0"/>
        <w:adjustRightInd w:val="0"/>
        <w:jc w:val="center"/>
        <w:rPr>
          <w:rFonts w:eastAsia="黑体"/>
          <w:sz w:val="28"/>
          <w:szCs w:val="28"/>
          <w:lang w:bidi="ar"/>
        </w:rPr>
      </w:pPr>
      <w:r>
        <w:rPr>
          <w:rFonts w:eastAsia="黑体"/>
          <w:sz w:val="28"/>
          <w:szCs w:val="28"/>
          <w:lang w:bidi="ar"/>
        </w:rPr>
        <w:t>机动车道宽度和路缘带宽度（单位：m）</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048"/>
        <w:gridCol w:w="1048"/>
        <w:gridCol w:w="1048"/>
        <w:gridCol w:w="1049"/>
        <w:gridCol w:w="1048"/>
        <w:gridCol w:w="1146"/>
        <w:gridCol w:w="1129"/>
      </w:tblGrid>
      <w:tr w14:paraId="37BD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vMerge w:val="restart"/>
            <w:tcBorders>
              <w:top w:val="single" w:color="auto" w:sz="12" w:space="0"/>
              <w:left w:val="single" w:color="auto" w:sz="12" w:space="0"/>
              <w:bottom w:val="single" w:color="auto" w:sz="4" w:space="0"/>
              <w:right w:val="single" w:color="auto" w:sz="4" w:space="0"/>
            </w:tcBorders>
            <w:noWrap w:val="0"/>
            <w:vAlign w:val="center"/>
          </w:tcPr>
          <w:p w14:paraId="76EDE14B">
            <w:pPr>
              <w:widowControl/>
              <w:ind w:firstLine="181"/>
              <w:jc w:val="center"/>
              <w:rPr>
                <w:rFonts w:hint="eastAsia" w:ascii="黑体" w:eastAsia="黑体"/>
              </w:rPr>
            </w:pPr>
            <w:r>
              <w:rPr>
                <w:rFonts w:hint="eastAsia" w:ascii="黑体" w:eastAsia="黑体"/>
                <w:lang w:bidi="ar"/>
              </w:rPr>
              <w:t>设计车速</w:t>
            </w:r>
          </w:p>
          <w:p w14:paraId="7C6F71C1">
            <w:pPr>
              <w:widowControl/>
              <w:ind w:firstLine="181"/>
              <w:jc w:val="center"/>
              <w:rPr>
                <w:rFonts w:hint="eastAsia" w:ascii="黑体" w:eastAsia="黑体"/>
              </w:rPr>
            </w:pPr>
            <w:r>
              <w:rPr>
                <w:rFonts w:hint="eastAsia" w:ascii="黑体" w:eastAsia="黑体"/>
                <w:lang w:bidi="ar"/>
              </w:rPr>
              <w:t>（km/h）</w:t>
            </w:r>
          </w:p>
        </w:tc>
        <w:tc>
          <w:tcPr>
            <w:tcW w:w="2096" w:type="dxa"/>
            <w:gridSpan w:val="2"/>
            <w:tcBorders>
              <w:top w:val="single" w:color="auto" w:sz="12" w:space="0"/>
              <w:left w:val="single" w:color="auto" w:sz="4" w:space="0"/>
              <w:bottom w:val="single" w:color="auto" w:sz="2" w:space="0"/>
              <w:right w:val="single" w:color="auto" w:sz="4" w:space="0"/>
            </w:tcBorders>
            <w:noWrap w:val="0"/>
            <w:vAlign w:val="center"/>
          </w:tcPr>
          <w:p w14:paraId="656B1FE4">
            <w:pPr>
              <w:widowControl/>
              <w:jc w:val="center"/>
              <w:rPr>
                <w:rFonts w:hint="eastAsia" w:ascii="黑体" w:eastAsia="黑体"/>
              </w:rPr>
            </w:pPr>
            <w:r>
              <w:rPr>
                <w:rFonts w:hint="eastAsia" w:ascii="黑体" w:eastAsia="黑体"/>
                <w:lang w:bidi="ar"/>
              </w:rPr>
              <w:t>外侧车道</w:t>
            </w:r>
          </w:p>
        </w:tc>
        <w:tc>
          <w:tcPr>
            <w:tcW w:w="2097" w:type="dxa"/>
            <w:gridSpan w:val="2"/>
            <w:tcBorders>
              <w:top w:val="single" w:color="auto" w:sz="12" w:space="0"/>
              <w:left w:val="single" w:color="auto" w:sz="4" w:space="0"/>
              <w:bottom w:val="single" w:color="auto" w:sz="2" w:space="0"/>
              <w:right w:val="single" w:color="auto" w:sz="4" w:space="0"/>
            </w:tcBorders>
            <w:noWrap w:val="0"/>
            <w:vAlign w:val="center"/>
          </w:tcPr>
          <w:p w14:paraId="47BD8EE6">
            <w:pPr>
              <w:widowControl/>
              <w:jc w:val="center"/>
              <w:rPr>
                <w:rFonts w:hint="eastAsia" w:ascii="黑体" w:eastAsia="黑体"/>
              </w:rPr>
            </w:pPr>
            <w:r>
              <w:rPr>
                <w:rFonts w:hint="eastAsia" w:ascii="黑体" w:eastAsia="黑体"/>
                <w:lang w:bidi="ar"/>
              </w:rPr>
              <w:t>中间车道</w:t>
            </w:r>
          </w:p>
        </w:tc>
        <w:tc>
          <w:tcPr>
            <w:tcW w:w="2194" w:type="dxa"/>
            <w:gridSpan w:val="2"/>
            <w:tcBorders>
              <w:top w:val="single" w:color="auto" w:sz="12" w:space="0"/>
              <w:left w:val="single" w:color="auto" w:sz="4" w:space="0"/>
              <w:bottom w:val="single" w:color="auto" w:sz="2" w:space="0"/>
              <w:right w:val="single" w:color="auto" w:sz="4" w:space="0"/>
            </w:tcBorders>
            <w:noWrap w:val="0"/>
            <w:vAlign w:val="center"/>
          </w:tcPr>
          <w:p w14:paraId="52A00FED">
            <w:pPr>
              <w:widowControl/>
              <w:jc w:val="center"/>
              <w:rPr>
                <w:rFonts w:hint="eastAsia" w:ascii="黑体" w:eastAsia="黑体"/>
              </w:rPr>
            </w:pPr>
            <w:r>
              <w:rPr>
                <w:rFonts w:hint="eastAsia" w:ascii="黑体" w:eastAsia="黑体"/>
                <w:lang w:bidi="ar"/>
              </w:rPr>
              <w:t>内侧车道</w:t>
            </w:r>
          </w:p>
        </w:tc>
        <w:tc>
          <w:tcPr>
            <w:tcW w:w="1129" w:type="dxa"/>
            <w:vMerge w:val="restart"/>
            <w:tcBorders>
              <w:top w:val="single" w:color="auto" w:sz="12" w:space="0"/>
              <w:left w:val="single" w:color="auto" w:sz="4" w:space="0"/>
              <w:bottom w:val="single" w:color="auto" w:sz="4" w:space="0"/>
              <w:right w:val="single" w:color="auto" w:sz="12" w:space="0"/>
            </w:tcBorders>
            <w:noWrap w:val="0"/>
            <w:vAlign w:val="center"/>
          </w:tcPr>
          <w:p w14:paraId="38956E8D">
            <w:pPr>
              <w:widowControl/>
              <w:jc w:val="center"/>
              <w:rPr>
                <w:rFonts w:eastAsia="黑体"/>
              </w:rPr>
            </w:pPr>
            <w:r>
              <w:rPr>
                <w:rFonts w:eastAsia="黑体"/>
                <w:lang w:bidi="ar"/>
              </w:rPr>
              <w:t>路缘带</w:t>
            </w:r>
          </w:p>
        </w:tc>
      </w:tr>
      <w:tr w14:paraId="099D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vMerge w:val="continue"/>
            <w:tcBorders>
              <w:top w:val="single" w:color="auto" w:sz="12" w:space="0"/>
              <w:left w:val="single" w:color="auto" w:sz="12" w:space="0"/>
              <w:bottom w:val="single" w:color="auto" w:sz="4" w:space="0"/>
              <w:right w:val="single" w:color="auto" w:sz="4" w:space="0"/>
            </w:tcBorders>
            <w:noWrap w:val="0"/>
            <w:vAlign w:val="center"/>
          </w:tcPr>
          <w:p w14:paraId="2CE1A5F1">
            <w:pPr>
              <w:rPr>
                <w:rFonts w:hint="eastAsia" w:ascii="黑体" w:eastAsia="黑体"/>
                <w:sz w:val="20"/>
                <w:szCs w:val="20"/>
              </w:rPr>
            </w:pPr>
          </w:p>
        </w:tc>
        <w:tc>
          <w:tcPr>
            <w:tcW w:w="1048" w:type="dxa"/>
            <w:tcBorders>
              <w:top w:val="single" w:color="auto" w:sz="2" w:space="0"/>
              <w:left w:val="single" w:color="auto" w:sz="4" w:space="0"/>
              <w:bottom w:val="single" w:color="auto" w:sz="4" w:space="0"/>
              <w:right w:val="single" w:color="auto" w:sz="2" w:space="0"/>
            </w:tcBorders>
            <w:noWrap w:val="0"/>
            <w:vAlign w:val="center"/>
          </w:tcPr>
          <w:p w14:paraId="23737496">
            <w:pPr>
              <w:widowControl/>
              <w:jc w:val="center"/>
              <w:rPr>
                <w:rFonts w:hint="eastAsia" w:ascii="黑体" w:eastAsia="黑体"/>
              </w:rPr>
            </w:pPr>
            <w:r>
              <w:rPr>
                <w:rFonts w:hint="eastAsia" w:ascii="黑体" w:eastAsia="黑体"/>
                <w:lang w:bidi="ar"/>
              </w:rPr>
              <w:t>大车道</w:t>
            </w:r>
          </w:p>
        </w:tc>
        <w:tc>
          <w:tcPr>
            <w:tcW w:w="1048" w:type="dxa"/>
            <w:tcBorders>
              <w:top w:val="single" w:color="auto" w:sz="2" w:space="0"/>
              <w:left w:val="single" w:color="auto" w:sz="2" w:space="0"/>
              <w:bottom w:val="single" w:color="auto" w:sz="4" w:space="0"/>
              <w:right w:val="single" w:color="auto" w:sz="4" w:space="0"/>
            </w:tcBorders>
            <w:noWrap w:val="0"/>
            <w:vAlign w:val="center"/>
          </w:tcPr>
          <w:p w14:paraId="2BC243A4">
            <w:pPr>
              <w:widowControl/>
              <w:jc w:val="center"/>
              <w:rPr>
                <w:rFonts w:hint="eastAsia" w:ascii="黑体" w:eastAsia="黑体"/>
              </w:rPr>
            </w:pPr>
            <w:r>
              <w:rPr>
                <w:rFonts w:hint="eastAsia" w:ascii="黑体" w:eastAsia="黑体"/>
                <w:lang w:bidi="ar"/>
              </w:rPr>
              <w:t>小车道</w:t>
            </w:r>
          </w:p>
        </w:tc>
        <w:tc>
          <w:tcPr>
            <w:tcW w:w="1048" w:type="dxa"/>
            <w:tcBorders>
              <w:top w:val="single" w:color="auto" w:sz="2" w:space="0"/>
              <w:left w:val="single" w:color="auto" w:sz="4" w:space="0"/>
              <w:bottom w:val="single" w:color="auto" w:sz="4" w:space="0"/>
              <w:right w:val="single" w:color="auto" w:sz="2" w:space="0"/>
            </w:tcBorders>
            <w:noWrap w:val="0"/>
            <w:vAlign w:val="center"/>
          </w:tcPr>
          <w:p w14:paraId="030F16C0">
            <w:pPr>
              <w:widowControl/>
              <w:jc w:val="center"/>
              <w:rPr>
                <w:rFonts w:hint="eastAsia" w:ascii="黑体" w:eastAsia="黑体"/>
              </w:rPr>
            </w:pPr>
            <w:r>
              <w:rPr>
                <w:rFonts w:hint="eastAsia" w:ascii="黑体" w:eastAsia="黑体"/>
                <w:lang w:bidi="ar"/>
              </w:rPr>
              <w:t>大车道</w:t>
            </w:r>
          </w:p>
        </w:tc>
        <w:tc>
          <w:tcPr>
            <w:tcW w:w="1049" w:type="dxa"/>
            <w:tcBorders>
              <w:top w:val="single" w:color="auto" w:sz="2" w:space="0"/>
              <w:left w:val="single" w:color="auto" w:sz="2" w:space="0"/>
              <w:bottom w:val="single" w:color="auto" w:sz="4" w:space="0"/>
              <w:right w:val="single" w:color="auto" w:sz="4" w:space="0"/>
            </w:tcBorders>
            <w:noWrap w:val="0"/>
            <w:vAlign w:val="center"/>
          </w:tcPr>
          <w:p w14:paraId="618A95CB">
            <w:pPr>
              <w:widowControl/>
              <w:jc w:val="center"/>
              <w:rPr>
                <w:rFonts w:hint="eastAsia" w:ascii="黑体" w:eastAsia="黑体"/>
              </w:rPr>
            </w:pPr>
            <w:r>
              <w:rPr>
                <w:rFonts w:hint="eastAsia" w:ascii="黑体" w:eastAsia="黑体"/>
                <w:lang w:bidi="ar"/>
              </w:rPr>
              <w:t>小车道</w:t>
            </w:r>
          </w:p>
        </w:tc>
        <w:tc>
          <w:tcPr>
            <w:tcW w:w="1048" w:type="dxa"/>
            <w:tcBorders>
              <w:top w:val="single" w:color="auto" w:sz="2" w:space="0"/>
              <w:left w:val="single" w:color="auto" w:sz="4" w:space="0"/>
              <w:bottom w:val="single" w:color="auto" w:sz="4" w:space="0"/>
              <w:right w:val="single" w:color="auto" w:sz="2" w:space="0"/>
            </w:tcBorders>
            <w:noWrap w:val="0"/>
            <w:vAlign w:val="center"/>
          </w:tcPr>
          <w:p w14:paraId="40BC2246">
            <w:pPr>
              <w:widowControl/>
              <w:jc w:val="center"/>
              <w:rPr>
                <w:rFonts w:hint="eastAsia" w:ascii="黑体" w:eastAsia="黑体"/>
              </w:rPr>
            </w:pPr>
            <w:r>
              <w:rPr>
                <w:rFonts w:hint="eastAsia" w:ascii="黑体" w:eastAsia="黑体"/>
                <w:lang w:bidi="ar"/>
              </w:rPr>
              <w:t>大车道</w:t>
            </w:r>
          </w:p>
        </w:tc>
        <w:tc>
          <w:tcPr>
            <w:tcW w:w="1146" w:type="dxa"/>
            <w:tcBorders>
              <w:top w:val="single" w:color="auto" w:sz="2" w:space="0"/>
              <w:left w:val="single" w:color="auto" w:sz="2" w:space="0"/>
              <w:bottom w:val="single" w:color="auto" w:sz="4" w:space="0"/>
              <w:right w:val="single" w:color="auto" w:sz="4" w:space="0"/>
            </w:tcBorders>
            <w:noWrap w:val="0"/>
            <w:vAlign w:val="center"/>
          </w:tcPr>
          <w:p w14:paraId="7DA42ED8">
            <w:pPr>
              <w:widowControl/>
              <w:jc w:val="center"/>
              <w:rPr>
                <w:rFonts w:hint="eastAsia" w:ascii="黑体" w:eastAsia="黑体"/>
              </w:rPr>
            </w:pPr>
            <w:r>
              <w:rPr>
                <w:rFonts w:hint="eastAsia" w:ascii="黑体" w:eastAsia="黑体"/>
                <w:lang w:bidi="ar"/>
              </w:rPr>
              <w:t>小车道</w:t>
            </w:r>
          </w:p>
        </w:tc>
        <w:tc>
          <w:tcPr>
            <w:tcW w:w="1129" w:type="dxa"/>
            <w:vMerge w:val="continue"/>
            <w:tcBorders>
              <w:top w:val="single" w:color="auto" w:sz="12" w:space="0"/>
              <w:left w:val="single" w:color="auto" w:sz="4" w:space="0"/>
              <w:bottom w:val="single" w:color="auto" w:sz="4" w:space="0"/>
              <w:right w:val="single" w:color="auto" w:sz="12" w:space="0"/>
            </w:tcBorders>
            <w:noWrap w:val="0"/>
            <w:vAlign w:val="center"/>
          </w:tcPr>
          <w:p w14:paraId="142A2C02">
            <w:pPr>
              <w:rPr>
                <w:rFonts w:eastAsia="黑体"/>
                <w:sz w:val="20"/>
                <w:szCs w:val="20"/>
              </w:rPr>
            </w:pPr>
          </w:p>
        </w:tc>
      </w:tr>
      <w:tr w14:paraId="52C2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tcBorders>
              <w:top w:val="single" w:color="auto" w:sz="4" w:space="0"/>
              <w:left w:val="single" w:color="auto" w:sz="12" w:space="0"/>
              <w:bottom w:val="single" w:color="auto" w:sz="4" w:space="0"/>
              <w:right w:val="single" w:color="auto" w:sz="4" w:space="0"/>
            </w:tcBorders>
            <w:noWrap w:val="0"/>
            <w:vAlign w:val="center"/>
          </w:tcPr>
          <w:p w14:paraId="145BEBE5">
            <w:pPr>
              <w:widowControl/>
              <w:jc w:val="center"/>
              <w:rPr>
                <w:rFonts w:ascii="宋体" w:hAnsi="宋体"/>
              </w:rPr>
            </w:pPr>
            <w:r>
              <w:rPr>
                <w:rFonts w:ascii="宋体" w:hAnsi="宋体"/>
                <w:lang w:bidi="ar"/>
              </w:rPr>
              <w:t>80≤V≤100</w:t>
            </w:r>
          </w:p>
        </w:tc>
        <w:tc>
          <w:tcPr>
            <w:tcW w:w="1048" w:type="dxa"/>
            <w:tcBorders>
              <w:top w:val="single" w:color="auto" w:sz="4" w:space="0"/>
              <w:left w:val="single" w:color="auto" w:sz="4" w:space="0"/>
              <w:bottom w:val="single" w:color="auto" w:sz="4" w:space="0"/>
              <w:right w:val="single" w:color="auto" w:sz="2" w:space="0"/>
            </w:tcBorders>
            <w:noWrap w:val="0"/>
            <w:vAlign w:val="center"/>
          </w:tcPr>
          <w:p w14:paraId="7910BD6A">
            <w:pPr>
              <w:widowControl/>
              <w:jc w:val="center"/>
              <w:rPr>
                <w:rFonts w:ascii="宋体" w:hAnsi="宋体"/>
              </w:rPr>
            </w:pPr>
            <w:r>
              <w:rPr>
                <w:rFonts w:ascii="宋体" w:hAnsi="宋体"/>
                <w:lang w:bidi="ar"/>
              </w:rPr>
              <w:t>3.75</w:t>
            </w:r>
          </w:p>
        </w:tc>
        <w:tc>
          <w:tcPr>
            <w:tcW w:w="1048" w:type="dxa"/>
            <w:tcBorders>
              <w:top w:val="single" w:color="auto" w:sz="4" w:space="0"/>
              <w:left w:val="single" w:color="auto" w:sz="2" w:space="0"/>
              <w:bottom w:val="single" w:color="auto" w:sz="4" w:space="0"/>
              <w:right w:val="single" w:color="auto" w:sz="4" w:space="0"/>
            </w:tcBorders>
            <w:noWrap w:val="0"/>
            <w:vAlign w:val="center"/>
          </w:tcPr>
          <w:p w14:paraId="23E5A083">
            <w:pPr>
              <w:widowControl/>
              <w:jc w:val="center"/>
              <w:rPr>
                <w:rFonts w:ascii="宋体" w:hAnsi="宋体"/>
              </w:rPr>
            </w:pPr>
            <w:r>
              <w:rPr>
                <w:rFonts w:ascii="宋体" w:hAnsi="宋体"/>
                <w:lang w:bidi="ar"/>
              </w:rPr>
              <w:t>3.50</w:t>
            </w:r>
          </w:p>
        </w:tc>
        <w:tc>
          <w:tcPr>
            <w:tcW w:w="1048" w:type="dxa"/>
            <w:tcBorders>
              <w:top w:val="single" w:color="auto" w:sz="4" w:space="0"/>
              <w:left w:val="single" w:color="auto" w:sz="4" w:space="0"/>
              <w:bottom w:val="single" w:color="auto" w:sz="4" w:space="0"/>
              <w:right w:val="single" w:color="auto" w:sz="2" w:space="0"/>
            </w:tcBorders>
            <w:noWrap w:val="0"/>
            <w:vAlign w:val="center"/>
          </w:tcPr>
          <w:p w14:paraId="354A662F">
            <w:pPr>
              <w:widowControl/>
              <w:jc w:val="center"/>
              <w:rPr>
                <w:rFonts w:ascii="宋体" w:hAnsi="宋体"/>
              </w:rPr>
            </w:pPr>
            <w:r>
              <w:rPr>
                <w:rFonts w:ascii="宋体" w:hAnsi="宋体"/>
                <w:lang w:bidi="ar"/>
              </w:rPr>
              <w:t>3.75</w:t>
            </w:r>
          </w:p>
        </w:tc>
        <w:tc>
          <w:tcPr>
            <w:tcW w:w="1049" w:type="dxa"/>
            <w:tcBorders>
              <w:top w:val="single" w:color="auto" w:sz="4" w:space="0"/>
              <w:left w:val="single" w:color="auto" w:sz="2" w:space="0"/>
              <w:bottom w:val="single" w:color="auto" w:sz="4" w:space="0"/>
              <w:right w:val="single" w:color="auto" w:sz="4" w:space="0"/>
            </w:tcBorders>
            <w:noWrap w:val="0"/>
            <w:vAlign w:val="center"/>
          </w:tcPr>
          <w:p w14:paraId="5A454207">
            <w:pPr>
              <w:widowControl/>
              <w:jc w:val="center"/>
              <w:rPr>
                <w:rFonts w:ascii="宋体" w:hAnsi="宋体"/>
              </w:rPr>
            </w:pPr>
            <w:r>
              <w:rPr>
                <w:rFonts w:ascii="宋体" w:hAnsi="宋体"/>
                <w:lang w:bidi="ar"/>
              </w:rPr>
              <w:t>3.50</w:t>
            </w:r>
          </w:p>
        </w:tc>
        <w:tc>
          <w:tcPr>
            <w:tcW w:w="1048" w:type="dxa"/>
            <w:tcBorders>
              <w:top w:val="single" w:color="auto" w:sz="4" w:space="0"/>
              <w:left w:val="single" w:color="auto" w:sz="4" w:space="0"/>
              <w:bottom w:val="single" w:color="auto" w:sz="4" w:space="0"/>
              <w:right w:val="single" w:color="auto" w:sz="2" w:space="0"/>
            </w:tcBorders>
            <w:noWrap w:val="0"/>
            <w:vAlign w:val="center"/>
          </w:tcPr>
          <w:p w14:paraId="0EE59847">
            <w:pPr>
              <w:widowControl/>
              <w:jc w:val="center"/>
              <w:rPr>
                <w:rFonts w:ascii="宋体" w:hAnsi="宋体"/>
              </w:rPr>
            </w:pPr>
            <w:r>
              <w:rPr>
                <w:rFonts w:ascii="宋体" w:hAnsi="宋体"/>
                <w:lang w:bidi="ar"/>
              </w:rPr>
              <w:t>3.75</w:t>
            </w:r>
          </w:p>
        </w:tc>
        <w:tc>
          <w:tcPr>
            <w:tcW w:w="1146" w:type="dxa"/>
            <w:tcBorders>
              <w:top w:val="single" w:color="auto" w:sz="4" w:space="0"/>
              <w:left w:val="single" w:color="auto" w:sz="2" w:space="0"/>
              <w:bottom w:val="single" w:color="auto" w:sz="4" w:space="0"/>
              <w:right w:val="single" w:color="auto" w:sz="4" w:space="0"/>
            </w:tcBorders>
            <w:noWrap w:val="0"/>
            <w:vAlign w:val="center"/>
          </w:tcPr>
          <w:p w14:paraId="2B59586D">
            <w:pPr>
              <w:widowControl/>
              <w:jc w:val="center"/>
              <w:rPr>
                <w:rFonts w:ascii="宋体" w:hAnsi="宋体"/>
              </w:rPr>
            </w:pPr>
            <w:r>
              <w:rPr>
                <w:rFonts w:ascii="宋体" w:hAnsi="宋体"/>
                <w:lang w:bidi="ar"/>
              </w:rPr>
              <w:t>3.50</w:t>
            </w:r>
          </w:p>
        </w:tc>
        <w:tc>
          <w:tcPr>
            <w:tcW w:w="1129" w:type="dxa"/>
            <w:tcBorders>
              <w:top w:val="single" w:color="auto" w:sz="4" w:space="0"/>
              <w:left w:val="single" w:color="auto" w:sz="4" w:space="0"/>
              <w:bottom w:val="single" w:color="auto" w:sz="4" w:space="0"/>
              <w:right w:val="single" w:color="auto" w:sz="12" w:space="0"/>
            </w:tcBorders>
            <w:noWrap w:val="0"/>
            <w:vAlign w:val="center"/>
          </w:tcPr>
          <w:p w14:paraId="4E4E994A">
            <w:pPr>
              <w:widowControl/>
              <w:jc w:val="center"/>
              <w:rPr>
                <w:rFonts w:ascii="宋体" w:hAnsi="宋体"/>
              </w:rPr>
            </w:pPr>
            <w:r>
              <w:rPr>
                <w:rFonts w:ascii="宋体" w:hAnsi="宋体"/>
                <w:lang w:bidi="ar"/>
              </w:rPr>
              <w:t>0.50</w:t>
            </w:r>
          </w:p>
        </w:tc>
      </w:tr>
      <w:tr w14:paraId="5C29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tcBorders>
              <w:top w:val="single" w:color="auto" w:sz="4" w:space="0"/>
              <w:left w:val="single" w:color="auto" w:sz="12" w:space="0"/>
              <w:bottom w:val="single" w:color="auto" w:sz="4" w:space="0"/>
              <w:right w:val="single" w:color="auto" w:sz="4" w:space="0"/>
            </w:tcBorders>
            <w:noWrap w:val="0"/>
            <w:vAlign w:val="center"/>
          </w:tcPr>
          <w:p w14:paraId="5744656B">
            <w:pPr>
              <w:widowControl/>
              <w:ind w:firstLine="181"/>
              <w:jc w:val="center"/>
              <w:rPr>
                <w:rFonts w:ascii="宋体" w:hAnsi="宋体"/>
              </w:rPr>
            </w:pPr>
            <w:r>
              <w:rPr>
                <w:rFonts w:ascii="宋体" w:hAnsi="宋体"/>
                <w:lang w:bidi="ar"/>
              </w:rPr>
              <w:t>60≤V＜80</w:t>
            </w:r>
          </w:p>
        </w:tc>
        <w:tc>
          <w:tcPr>
            <w:tcW w:w="1048" w:type="dxa"/>
            <w:tcBorders>
              <w:top w:val="single" w:color="auto" w:sz="4" w:space="0"/>
              <w:left w:val="single" w:color="auto" w:sz="4" w:space="0"/>
              <w:bottom w:val="single" w:color="auto" w:sz="4" w:space="0"/>
              <w:right w:val="single" w:color="auto" w:sz="2" w:space="0"/>
            </w:tcBorders>
            <w:noWrap w:val="0"/>
            <w:vAlign w:val="center"/>
          </w:tcPr>
          <w:p w14:paraId="5ED94448">
            <w:pPr>
              <w:widowControl/>
              <w:jc w:val="center"/>
              <w:rPr>
                <w:rFonts w:ascii="宋体" w:hAnsi="宋体"/>
              </w:rPr>
            </w:pPr>
            <w:r>
              <w:rPr>
                <w:rFonts w:ascii="宋体" w:hAnsi="宋体"/>
                <w:lang w:bidi="ar"/>
              </w:rPr>
              <w:t>3.75</w:t>
            </w:r>
          </w:p>
        </w:tc>
        <w:tc>
          <w:tcPr>
            <w:tcW w:w="1048" w:type="dxa"/>
            <w:tcBorders>
              <w:top w:val="single" w:color="auto" w:sz="4" w:space="0"/>
              <w:left w:val="single" w:color="auto" w:sz="2" w:space="0"/>
              <w:bottom w:val="single" w:color="auto" w:sz="4" w:space="0"/>
              <w:right w:val="single" w:color="auto" w:sz="4" w:space="0"/>
            </w:tcBorders>
            <w:noWrap w:val="0"/>
            <w:vAlign w:val="center"/>
          </w:tcPr>
          <w:p w14:paraId="3A00A5B5">
            <w:pPr>
              <w:widowControl/>
              <w:jc w:val="center"/>
              <w:rPr>
                <w:rFonts w:ascii="宋体" w:hAnsi="宋体"/>
              </w:rPr>
            </w:pPr>
            <w:r>
              <w:rPr>
                <w:rFonts w:ascii="宋体" w:hAnsi="宋体"/>
                <w:lang w:bidi="ar"/>
              </w:rPr>
              <w:t>3.50</w:t>
            </w:r>
          </w:p>
        </w:tc>
        <w:tc>
          <w:tcPr>
            <w:tcW w:w="1048" w:type="dxa"/>
            <w:tcBorders>
              <w:top w:val="single" w:color="auto" w:sz="4" w:space="0"/>
              <w:left w:val="single" w:color="auto" w:sz="4" w:space="0"/>
              <w:bottom w:val="single" w:color="auto" w:sz="4" w:space="0"/>
              <w:right w:val="single" w:color="auto" w:sz="2" w:space="0"/>
            </w:tcBorders>
            <w:noWrap w:val="0"/>
            <w:vAlign w:val="center"/>
          </w:tcPr>
          <w:p w14:paraId="1C480DE8">
            <w:pPr>
              <w:widowControl/>
              <w:jc w:val="center"/>
              <w:rPr>
                <w:rFonts w:ascii="宋体" w:hAnsi="宋体"/>
              </w:rPr>
            </w:pPr>
            <w:r>
              <w:rPr>
                <w:rFonts w:ascii="宋体" w:hAnsi="宋体"/>
                <w:lang w:bidi="ar"/>
              </w:rPr>
              <w:t>3.50</w:t>
            </w:r>
          </w:p>
        </w:tc>
        <w:tc>
          <w:tcPr>
            <w:tcW w:w="1049" w:type="dxa"/>
            <w:tcBorders>
              <w:top w:val="single" w:color="auto" w:sz="4" w:space="0"/>
              <w:left w:val="single" w:color="auto" w:sz="2" w:space="0"/>
              <w:bottom w:val="single" w:color="auto" w:sz="4" w:space="0"/>
              <w:right w:val="single" w:color="auto" w:sz="4" w:space="0"/>
            </w:tcBorders>
            <w:noWrap w:val="0"/>
            <w:vAlign w:val="center"/>
          </w:tcPr>
          <w:p w14:paraId="201CBC15">
            <w:pPr>
              <w:widowControl/>
              <w:jc w:val="center"/>
              <w:rPr>
                <w:rFonts w:ascii="宋体" w:hAnsi="宋体"/>
              </w:rPr>
            </w:pPr>
            <w:r>
              <w:rPr>
                <w:rFonts w:ascii="宋体" w:hAnsi="宋体"/>
                <w:lang w:bidi="ar"/>
              </w:rPr>
              <w:t>3.25</w:t>
            </w:r>
          </w:p>
        </w:tc>
        <w:tc>
          <w:tcPr>
            <w:tcW w:w="1048" w:type="dxa"/>
            <w:tcBorders>
              <w:top w:val="single" w:color="auto" w:sz="4" w:space="0"/>
              <w:left w:val="single" w:color="auto" w:sz="4" w:space="0"/>
              <w:bottom w:val="single" w:color="auto" w:sz="4" w:space="0"/>
              <w:right w:val="single" w:color="auto" w:sz="2" w:space="0"/>
            </w:tcBorders>
            <w:noWrap w:val="0"/>
            <w:vAlign w:val="center"/>
          </w:tcPr>
          <w:p w14:paraId="5D5C2E65">
            <w:pPr>
              <w:widowControl/>
              <w:jc w:val="center"/>
              <w:rPr>
                <w:rFonts w:ascii="宋体" w:hAnsi="宋体"/>
              </w:rPr>
            </w:pPr>
            <w:r>
              <w:rPr>
                <w:rFonts w:ascii="宋体" w:hAnsi="宋体"/>
                <w:lang w:bidi="ar"/>
              </w:rPr>
              <w:t>3.50</w:t>
            </w:r>
          </w:p>
        </w:tc>
        <w:tc>
          <w:tcPr>
            <w:tcW w:w="1146" w:type="dxa"/>
            <w:tcBorders>
              <w:top w:val="single" w:color="auto" w:sz="4" w:space="0"/>
              <w:left w:val="single" w:color="auto" w:sz="2" w:space="0"/>
              <w:bottom w:val="single" w:color="auto" w:sz="4" w:space="0"/>
              <w:right w:val="single" w:color="auto" w:sz="4" w:space="0"/>
            </w:tcBorders>
            <w:noWrap w:val="0"/>
            <w:vAlign w:val="center"/>
          </w:tcPr>
          <w:p w14:paraId="5897E0BD">
            <w:pPr>
              <w:widowControl/>
              <w:jc w:val="center"/>
              <w:rPr>
                <w:rFonts w:ascii="宋体" w:hAnsi="宋体"/>
              </w:rPr>
            </w:pPr>
            <w:r>
              <w:rPr>
                <w:rFonts w:ascii="宋体" w:hAnsi="宋体"/>
                <w:lang w:bidi="ar"/>
              </w:rPr>
              <w:t>3.25</w:t>
            </w:r>
          </w:p>
        </w:tc>
        <w:tc>
          <w:tcPr>
            <w:tcW w:w="1129" w:type="dxa"/>
            <w:tcBorders>
              <w:top w:val="single" w:color="auto" w:sz="4" w:space="0"/>
              <w:left w:val="single" w:color="auto" w:sz="4" w:space="0"/>
              <w:bottom w:val="single" w:color="auto" w:sz="4" w:space="0"/>
              <w:right w:val="single" w:color="auto" w:sz="12" w:space="0"/>
            </w:tcBorders>
            <w:noWrap w:val="0"/>
            <w:vAlign w:val="center"/>
          </w:tcPr>
          <w:p w14:paraId="4B6ED00C">
            <w:pPr>
              <w:widowControl/>
              <w:jc w:val="center"/>
              <w:rPr>
                <w:rFonts w:ascii="宋体" w:hAnsi="宋体"/>
              </w:rPr>
            </w:pPr>
            <w:r>
              <w:rPr>
                <w:rFonts w:ascii="宋体" w:hAnsi="宋体"/>
                <w:lang w:bidi="ar"/>
              </w:rPr>
              <w:t>0.50</w:t>
            </w:r>
          </w:p>
        </w:tc>
      </w:tr>
      <w:tr w14:paraId="6119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tcBorders>
              <w:top w:val="single" w:color="auto" w:sz="4" w:space="0"/>
              <w:left w:val="single" w:color="auto" w:sz="12" w:space="0"/>
              <w:bottom w:val="single" w:color="auto" w:sz="4" w:space="0"/>
              <w:right w:val="single" w:color="auto" w:sz="4" w:space="0"/>
            </w:tcBorders>
            <w:noWrap w:val="0"/>
            <w:vAlign w:val="center"/>
          </w:tcPr>
          <w:p w14:paraId="76B7B0B9">
            <w:pPr>
              <w:widowControl/>
              <w:ind w:firstLine="181"/>
              <w:jc w:val="center"/>
              <w:rPr>
                <w:rFonts w:ascii="宋体" w:hAnsi="宋体"/>
              </w:rPr>
            </w:pPr>
            <w:r>
              <w:rPr>
                <w:rFonts w:ascii="宋体" w:hAnsi="宋体"/>
                <w:lang w:bidi="ar"/>
              </w:rPr>
              <w:t>40≤V＜60</w:t>
            </w:r>
          </w:p>
        </w:tc>
        <w:tc>
          <w:tcPr>
            <w:tcW w:w="1048" w:type="dxa"/>
            <w:tcBorders>
              <w:top w:val="single" w:color="auto" w:sz="4" w:space="0"/>
              <w:left w:val="single" w:color="auto" w:sz="4" w:space="0"/>
              <w:bottom w:val="single" w:color="auto" w:sz="4" w:space="0"/>
              <w:right w:val="single" w:color="auto" w:sz="2" w:space="0"/>
            </w:tcBorders>
            <w:noWrap w:val="0"/>
            <w:vAlign w:val="center"/>
          </w:tcPr>
          <w:p w14:paraId="656BFA35">
            <w:pPr>
              <w:widowControl/>
              <w:jc w:val="center"/>
              <w:rPr>
                <w:rFonts w:ascii="宋体" w:hAnsi="宋体"/>
              </w:rPr>
            </w:pPr>
            <w:r>
              <w:rPr>
                <w:rFonts w:ascii="宋体" w:hAnsi="宋体"/>
                <w:lang w:bidi="ar"/>
              </w:rPr>
              <w:t>3.50</w:t>
            </w:r>
          </w:p>
        </w:tc>
        <w:tc>
          <w:tcPr>
            <w:tcW w:w="1048" w:type="dxa"/>
            <w:tcBorders>
              <w:top w:val="single" w:color="auto" w:sz="4" w:space="0"/>
              <w:left w:val="single" w:color="auto" w:sz="2" w:space="0"/>
              <w:bottom w:val="single" w:color="auto" w:sz="4" w:space="0"/>
              <w:right w:val="single" w:color="auto" w:sz="4" w:space="0"/>
            </w:tcBorders>
            <w:noWrap w:val="0"/>
            <w:vAlign w:val="center"/>
          </w:tcPr>
          <w:p w14:paraId="74B97CE8">
            <w:pPr>
              <w:widowControl/>
              <w:jc w:val="center"/>
              <w:rPr>
                <w:rFonts w:ascii="宋体" w:hAnsi="宋体"/>
              </w:rPr>
            </w:pPr>
            <w:r>
              <w:rPr>
                <w:rFonts w:ascii="宋体" w:hAnsi="宋体"/>
                <w:lang w:bidi="ar"/>
              </w:rPr>
              <w:t>3.25</w:t>
            </w:r>
          </w:p>
        </w:tc>
        <w:tc>
          <w:tcPr>
            <w:tcW w:w="1048" w:type="dxa"/>
            <w:tcBorders>
              <w:top w:val="single" w:color="auto" w:sz="4" w:space="0"/>
              <w:left w:val="single" w:color="auto" w:sz="4" w:space="0"/>
              <w:bottom w:val="single" w:color="auto" w:sz="4" w:space="0"/>
              <w:right w:val="single" w:color="auto" w:sz="2" w:space="0"/>
            </w:tcBorders>
            <w:noWrap w:val="0"/>
            <w:vAlign w:val="center"/>
          </w:tcPr>
          <w:p w14:paraId="3E4A55E1">
            <w:pPr>
              <w:widowControl/>
              <w:jc w:val="center"/>
              <w:rPr>
                <w:rFonts w:ascii="宋体" w:hAnsi="宋体"/>
              </w:rPr>
            </w:pPr>
            <w:r>
              <w:rPr>
                <w:rFonts w:ascii="宋体" w:hAnsi="宋体"/>
                <w:lang w:bidi="ar"/>
              </w:rPr>
              <w:t>3.50</w:t>
            </w:r>
          </w:p>
        </w:tc>
        <w:tc>
          <w:tcPr>
            <w:tcW w:w="1049" w:type="dxa"/>
            <w:tcBorders>
              <w:top w:val="single" w:color="auto" w:sz="4" w:space="0"/>
              <w:left w:val="single" w:color="auto" w:sz="2" w:space="0"/>
              <w:bottom w:val="single" w:color="auto" w:sz="4" w:space="0"/>
              <w:right w:val="single" w:color="auto" w:sz="4" w:space="0"/>
            </w:tcBorders>
            <w:noWrap w:val="0"/>
            <w:vAlign w:val="center"/>
          </w:tcPr>
          <w:p w14:paraId="7BF691B1">
            <w:pPr>
              <w:widowControl/>
              <w:jc w:val="center"/>
              <w:rPr>
                <w:rFonts w:ascii="宋体" w:hAnsi="宋体"/>
              </w:rPr>
            </w:pPr>
            <w:r>
              <w:rPr>
                <w:rFonts w:ascii="宋体" w:hAnsi="宋体"/>
                <w:lang w:bidi="ar"/>
              </w:rPr>
              <w:t>3.25</w:t>
            </w:r>
          </w:p>
        </w:tc>
        <w:tc>
          <w:tcPr>
            <w:tcW w:w="1048" w:type="dxa"/>
            <w:tcBorders>
              <w:top w:val="single" w:color="auto" w:sz="4" w:space="0"/>
              <w:left w:val="single" w:color="auto" w:sz="4" w:space="0"/>
              <w:bottom w:val="single" w:color="auto" w:sz="4" w:space="0"/>
              <w:right w:val="single" w:color="auto" w:sz="2" w:space="0"/>
            </w:tcBorders>
            <w:noWrap w:val="0"/>
            <w:vAlign w:val="center"/>
          </w:tcPr>
          <w:p w14:paraId="620334C4">
            <w:pPr>
              <w:widowControl/>
              <w:jc w:val="center"/>
              <w:rPr>
                <w:rFonts w:ascii="宋体" w:hAnsi="宋体"/>
              </w:rPr>
            </w:pPr>
            <w:r>
              <w:rPr>
                <w:rFonts w:ascii="宋体" w:hAnsi="宋体"/>
                <w:lang w:bidi="ar"/>
              </w:rPr>
              <w:t>3.50</w:t>
            </w:r>
          </w:p>
        </w:tc>
        <w:tc>
          <w:tcPr>
            <w:tcW w:w="1146" w:type="dxa"/>
            <w:tcBorders>
              <w:top w:val="single" w:color="auto" w:sz="4" w:space="0"/>
              <w:left w:val="single" w:color="auto" w:sz="2" w:space="0"/>
              <w:bottom w:val="single" w:color="auto" w:sz="4" w:space="0"/>
              <w:right w:val="single" w:color="auto" w:sz="4" w:space="0"/>
            </w:tcBorders>
            <w:noWrap w:val="0"/>
            <w:vAlign w:val="center"/>
          </w:tcPr>
          <w:p w14:paraId="23B0B24F">
            <w:pPr>
              <w:widowControl/>
              <w:jc w:val="center"/>
              <w:rPr>
                <w:rFonts w:ascii="宋体" w:hAnsi="宋体"/>
              </w:rPr>
            </w:pPr>
            <w:r>
              <w:rPr>
                <w:rFonts w:ascii="宋体" w:hAnsi="宋体"/>
                <w:lang w:bidi="ar"/>
              </w:rPr>
              <w:t>3.25</w:t>
            </w:r>
          </w:p>
        </w:tc>
        <w:tc>
          <w:tcPr>
            <w:tcW w:w="1129" w:type="dxa"/>
            <w:tcBorders>
              <w:top w:val="single" w:color="auto" w:sz="4" w:space="0"/>
              <w:left w:val="single" w:color="auto" w:sz="4" w:space="0"/>
              <w:bottom w:val="single" w:color="auto" w:sz="4" w:space="0"/>
              <w:right w:val="single" w:color="auto" w:sz="12" w:space="0"/>
            </w:tcBorders>
            <w:noWrap w:val="0"/>
            <w:vAlign w:val="center"/>
          </w:tcPr>
          <w:p w14:paraId="35399879">
            <w:pPr>
              <w:widowControl/>
              <w:jc w:val="center"/>
              <w:rPr>
                <w:rFonts w:ascii="宋体" w:hAnsi="宋体"/>
              </w:rPr>
            </w:pPr>
            <w:r>
              <w:rPr>
                <w:rFonts w:ascii="宋体" w:hAnsi="宋体"/>
                <w:lang w:bidi="ar"/>
              </w:rPr>
              <w:t>0.25</w:t>
            </w:r>
          </w:p>
        </w:tc>
      </w:tr>
      <w:tr w14:paraId="3025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tcBorders>
              <w:top w:val="single" w:color="auto" w:sz="4" w:space="0"/>
              <w:left w:val="single" w:color="auto" w:sz="12" w:space="0"/>
              <w:bottom w:val="single" w:color="auto" w:sz="12" w:space="0"/>
              <w:right w:val="single" w:color="auto" w:sz="4" w:space="0"/>
            </w:tcBorders>
            <w:noWrap w:val="0"/>
            <w:vAlign w:val="center"/>
          </w:tcPr>
          <w:p w14:paraId="0DD014AF">
            <w:pPr>
              <w:widowControl/>
              <w:ind w:firstLine="181"/>
              <w:jc w:val="center"/>
              <w:rPr>
                <w:rFonts w:ascii="宋体" w:hAnsi="宋体"/>
              </w:rPr>
            </w:pPr>
            <w:r>
              <w:rPr>
                <w:rFonts w:ascii="宋体" w:hAnsi="宋体"/>
                <w:lang w:bidi="ar"/>
              </w:rPr>
              <w:t>V＜40</w:t>
            </w:r>
          </w:p>
        </w:tc>
        <w:tc>
          <w:tcPr>
            <w:tcW w:w="1048" w:type="dxa"/>
            <w:tcBorders>
              <w:top w:val="single" w:color="auto" w:sz="4" w:space="0"/>
              <w:left w:val="single" w:color="auto" w:sz="4" w:space="0"/>
              <w:bottom w:val="single" w:color="auto" w:sz="12" w:space="0"/>
              <w:right w:val="single" w:color="auto" w:sz="2" w:space="0"/>
            </w:tcBorders>
            <w:noWrap w:val="0"/>
            <w:vAlign w:val="center"/>
          </w:tcPr>
          <w:p w14:paraId="2A05F610">
            <w:pPr>
              <w:widowControl/>
              <w:jc w:val="center"/>
              <w:rPr>
                <w:rFonts w:ascii="宋体" w:hAnsi="宋体"/>
              </w:rPr>
            </w:pPr>
            <w:r>
              <w:rPr>
                <w:rFonts w:ascii="宋体" w:hAnsi="宋体"/>
                <w:lang w:bidi="ar"/>
              </w:rPr>
              <w:t>3.50</w:t>
            </w:r>
          </w:p>
        </w:tc>
        <w:tc>
          <w:tcPr>
            <w:tcW w:w="1048" w:type="dxa"/>
            <w:tcBorders>
              <w:top w:val="single" w:color="auto" w:sz="4" w:space="0"/>
              <w:left w:val="single" w:color="auto" w:sz="2" w:space="0"/>
              <w:bottom w:val="single" w:color="auto" w:sz="12" w:space="0"/>
              <w:right w:val="single" w:color="auto" w:sz="4" w:space="0"/>
            </w:tcBorders>
            <w:noWrap w:val="0"/>
            <w:vAlign w:val="center"/>
          </w:tcPr>
          <w:p w14:paraId="7417D206">
            <w:pPr>
              <w:widowControl/>
              <w:jc w:val="center"/>
              <w:rPr>
                <w:rFonts w:ascii="宋体" w:hAnsi="宋体"/>
              </w:rPr>
            </w:pPr>
            <w:r>
              <w:rPr>
                <w:rFonts w:ascii="宋体" w:hAnsi="宋体"/>
                <w:lang w:bidi="ar"/>
              </w:rPr>
              <w:t>3.25</w:t>
            </w:r>
          </w:p>
        </w:tc>
        <w:tc>
          <w:tcPr>
            <w:tcW w:w="1048" w:type="dxa"/>
            <w:tcBorders>
              <w:top w:val="single" w:color="auto" w:sz="4" w:space="0"/>
              <w:left w:val="single" w:color="auto" w:sz="4" w:space="0"/>
              <w:bottom w:val="single" w:color="auto" w:sz="12" w:space="0"/>
              <w:right w:val="single" w:color="auto" w:sz="2" w:space="0"/>
            </w:tcBorders>
            <w:noWrap w:val="0"/>
            <w:vAlign w:val="center"/>
          </w:tcPr>
          <w:p w14:paraId="62277F9C">
            <w:pPr>
              <w:widowControl/>
              <w:jc w:val="center"/>
              <w:rPr>
                <w:rFonts w:ascii="宋体" w:hAnsi="宋体"/>
              </w:rPr>
            </w:pPr>
            <w:r>
              <w:rPr>
                <w:rFonts w:ascii="宋体" w:hAnsi="宋体"/>
                <w:lang w:bidi="ar"/>
              </w:rPr>
              <w:t>3.25</w:t>
            </w:r>
          </w:p>
        </w:tc>
        <w:tc>
          <w:tcPr>
            <w:tcW w:w="1049" w:type="dxa"/>
            <w:tcBorders>
              <w:top w:val="single" w:color="auto" w:sz="4" w:space="0"/>
              <w:left w:val="single" w:color="auto" w:sz="2" w:space="0"/>
              <w:bottom w:val="single" w:color="auto" w:sz="12" w:space="0"/>
              <w:right w:val="single" w:color="auto" w:sz="4" w:space="0"/>
            </w:tcBorders>
            <w:noWrap w:val="0"/>
            <w:vAlign w:val="center"/>
          </w:tcPr>
          <w:p w14:paraId="26699393">
            <w:pPr>
              <w:widowControl/>
              <w:jc w:val="center"/>
              <w:rPr>
                <w:rFonts w:ascii="宋体" w:hAnsi="宋体"/>
              </w:rPr>
            </w:pPr>
            <w:r>
              <w:rPr>
                <w:rFonts w:ascii="宋体" w:hAnsi="宋体"/>
                <w:lang w:bidi="ar"/>
              </w:rPr>
              <w:t>3.25</w:t>
            </w:r>
          </w:p>
        </w:tc>
        <w:tc>
          <w:tcPr>
            <w:tcW w:w="1048" w:type="dxa"/>
            <w:tcBorders>
              <w:top w:val="single" w:color="auto" w:sz="4" w:space="0"/>
              <w:left w:val="single" w:color="auto" w:sz="4" w:space="0"/>
              <w:bottom w:val="single" w:color="auto" w:sz="12" w:space="0"/>
              <w:right w:val="single" w:color="auto" w:sz="2" w:space="0"/>
            </w:tcBorders>
            <w:noWrap w:val="0"/>
            <w:vAlign w:val="center"/>
          </w:tcPr>
          <w:p w14:paraId="15BF544A">
            <w:pPr>
              <w:widowControl/>
              <w:jc w:val="center"/>
              <w:rPr>
                <w:rFonts w:ascii="宋体" w:hAnsi="宋体"/>
              </w:rPr>
            </w:pPr>
            <w:r>
              <w:rPr>
                <w:rFonts w:ascii="宋体" w:hAnsi="宋体"/>
                <w:lang w:bidi="ar"/>
              </w:rPr>
              <w:t>3.25</w:t>
            </w:r>
          </w:p>
        </w:tc>
        <w:tc>
          <w:tcPr>
            <w:tcW w:w="1146" w:type="dxa"/>
            <w:tcBorders>
              <w:top w:val="single" w:color="auto" w:sz="4" w:space="0"/>
              <w:left w:val="single" w:color="auto" w:sz="2" w:space="0"/>
              <w:bottom w:val="single" w:color="auto" w:sz="12" w:space="0"/>
              <w:right w:val="single" w:color="auto" w:sz="4" w:space="0"/>
            </w:tcBorders>
            <w:noWrap w:val="0"/>
            <w:vAlign w:val="center"/>
          </w:tcPr>
          <w:p w14:paraId="78BB76E1">
            <w:pPr>
              <w:widowControl/>
              <w:jc w:val="center"/>
              <w:rPr>
                <w:rFonts w:ascii="宋体" w:hAnsi="宋体"/>
              </w:rPr>
            </w:pPr>
            <w:r>
              <w:rPr>
                <w:rFonts w:ascii="宋体" w:hAnsi="宋体"/>
                <w:lang w:bidi="ar"/>
              </w:rPr>
              <w:t>3.25</w:t>
            </w:r>
          </w:p>
        </w:tc>
        <w:tc>
          <w:tcPr>
            <w:tcW w:w="1129" w:type="dxa"/>
            <w:tcBorders>
              <w:top w:val="single" w:color="auto" w:sz="4" w:space="0"/>
              <w:left w:val="single" w:color="auto" w:sz="4" w:space="0"/>
              <w:bottom w:val="single" w:color="auto" w:sz="12" w:space="0"/>
              <w:right w:val="single" w:color="auto" w:sz="12" w:space="0"/>
            </w:tcBorders>
            <w:noWrap w:val="0"/>
            <w:vAlign w:val="center"/>
          </w:tcPr>
          <w:p w14:paraId="0F9152DA">
            <w:pPr>
              <w:widowControl/>
              <w:jc w:val="center"/>
              <w:rPr>
                <w:rFonts w:ascii="宋体" w:hAnsi="宋体"/>
              </w:rPr>
            </w:pPr>
            <w:r>
              <w:rPr>
                <w:rFonts w:ascii="宋体" w:hAnsi="宋体"/>
                <w:lang w:bidi="ar"/>
              </w:rPr>
              <w:t>0.00</w:t>
            </w:r>
          </w:p>
        </w:tc>
      </w:tr>
    </w:tbl>
    <w:p w14:paraId="2E6C72CB">
      <w:pPr>
        <w:snapToGrid w:val="0"/>
        <w:spacing w:before="120" w:beforeLines="50"/>
        <w:ind w:firstLine="422" w:firstLineChars="200"/>
        <w:rPr>
          <w:rFonts w:eastAsia="楷体_GB2312"/>
          <w:bCs/>
          <w:szCs w:val="21"/>
          <w:lang w:bidi="ar"/>
        </w:rPr>
      </w:pPr>
      <w:r>
        <w:rPr>
          <w:rFonts w:eastAsia="楷体_GB2312"/>
          <w:b/>
          <w:bCs/>
          <w:szCs w:val="21"/>
          <w:lang w:bidi="ar"/>
        </w:rPr>
        <w:t>注：</w:t>
      </w:r>
      <w:r>
        <w:rPr>
          <w:rFonts w:eastAsia="楷体_GB2312"/>
          <w:bCs/>
          <w:szCs w:val="21"/>
          <w:lang w:bidi="ar"/>
        </w:rPr>
        <w:t>当条件困难时，机动车道宽度在满足交通安全条件下不应小于3.0米。</w:t>
      </w:r>
    </w:p>
    <w:p w14:paraId="027A187B">
      <w:pPr>
        <w:ind w:firstLine="482"/>
        <w:rPr>
          <w:rFonts w:eastAsia="仿宋_GB2312"/>
        </w:rPr>
      </w:pPr>
    </w:p>
    <w:p w14:paraId="5E14FA92">
      <w:pPr>
        <w:rPr>
          <w:rFonts w:eastAsia="黑体"/>
          <w:sz w:val="28"/>
          <w:szCs w:val="28"/>
          <w:lang w:bidi="ar"/>
        </w:rPr>
      </w:pPr>
      <w:r>
        <w:rPr>
          <w:rFonts w:eastAsia="黑体"/>
          <w:sz w:val="28"/>
          <w:szCs w:val="28"/>
          <w:lang w:bidi="ar"/>
        </w:rPr>
        <w:t>附表7—2</w:t>
      </w:r>
    </w:p>
    <w:p w14:paraId="61F91FF9">
      <w:pPr>
        <w:autoSpaceDE w:val="0"/>
        <w:autoSpaceDN w:val="0"/>
        <w:adjustRightInd w:val="0"/>
        <w:jc w:val="center"/>
        <w:rPr>
          <w:rFonts w:eastAsia="仿宋_GB2312"/>
          <w:b/>
        </w:rPr>
      </w:pPr>
      <w:r>
        <w:rPr>
          <w:rFonts w:eastAsia="黑体"/>
          <w:sz w:val="28"/>
          <w:szCs w:val="28"/>
          <w:lang w:bidi="ar"/>
        </w:rPr>
        <w:t>交叉口车道宽度（单位：m）</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1705"/>
        <w:gridCol w:w="1706"/>
        <w:gridCol w:w="1706"/>
        <w:gridCol w:w="1706"/>
      </w:tblGrid>
      <w:tr w14:paraId="5643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2188" w:type="dxa"/>
            <w:vMerge w:val="restart"/>
            <w:tcBorders>
              <w:top w:val="single" w:color="auto" w:sz="12" w:space="0"/>
              <w:left w:val="single" w:color="auto" w:sz="12" w:space="0"/>
              <w:bottom w:val="single" w:color="auto" w:sz="4" w:space="0"/>
              <w:right w:val="single" w:color="auto" w:sz="4" w:space="0"/>
            </w:tcBorders>
            <w:noWrap w:val="0"/>
            <w:vAlign w:val="center"/>
          </w:tcPr>
          <w:p w14:paraId="033C1C96">
            <w:pPr>
              <w:widowControl/>
              <w:jc w:val="center"/>
              <w:rPr>
                <w:rFonts w:eastAsia="黑体"/>
              </w:rPr>
            </w:pPr>
            <w:r>
              <w:rPr>
                <w:rFonts w:eastAsia="黑体"/>
                <w:lang w:bidi="ar"/>
              </w:rPr>
              <w:t>设计车速</w:t>
            </w:r>
          </w:p>
          <w:p w14:paraId="7450C7CB">
            <w:pPr>
              <w:jc w:val="center"/>
              <w:rPr>
                <w:rFonts w:eastAsia="黑体"/>
              </w:rPr>
            </w:pPr>
            <w:r>
              <w:rPr>
                <w:rFonts w:eastAsia="黑体"/>
                <w:lang w:bidi="ar"/>
              </w:rPr>
              <w:t>（km/h）</w:t>
            </w:r>
          </w:p>
        </w:tc>
        <w:tc>
          <w:tcPr>
            <w:tcW w:w="3411" w:type="dxa"/>
            <w:gridSpan w:val="2"/>
            <w:tcBorders>
              <w:top w:val="single" w:color="auto" w:sz="12" w:space="0"/>
              <w:left w:val="single" w:color="auto" w:sz="4" w:space="0"/>
              <w:bottom w:val="single" w:color="auto" w:sz="2" w:space="0"/>
              <w:right w:val="single" w:color="auto" w:sz="4" w:space="0"/>
            </w:tcBorders>
            <w:noWrap w:val="0"/>
            <w:vAlign w:val="center"/>
          </w:tcPr>
          <w:p w14:paraId="495F4599">
            <w:pPr>
              <w:jc w:val="center"/>
              <w:rPr>
                <w:rFonts w:eastAsia="黑体"/>
              </w:rPr>
            </w:pPr>
            <w:r>
              <w:rPr>
                <w:rFonts w:eastAsia="黑体"/>
                <w:lang w:bidi="ar"/>
              </w:rPr>
              <w:t>进口车道</w:t>
            </w:r>
          </w:p>
        </w:tc>
        <w:tc>
          <w:tcPr>
            <w:tcW w:w="3412" w:type="dxa"/>
            <w:gridSpan w:val="2"/>
            <w:tcBorders>
              <w:top w:val="single" w:color="auto" w:sz="12" w:space="0"/>
              <w:left w:val="single" w:color="auto" w:sz="4" w:space="0"/>
              <w:bottom w:val="single" w:color="auto" w:sz="2" w:space="0"/>
              <w:right w:val="single" w:color="auto" w:sz="12" w:space="0"/>
            </w:tcBorders>
            <w:noWrap w:val="0"/>
            <w:vAlign w:val="center"/>
          </w:tcPr>
          <w:p w14:paraId="56059C7B">
            <w:pPr>
              <w:jc w:val="center"/>
              <w:rPr>
                <w:rFonts w:eastAsia="黑体"/>
              </w:rPr>
            </w:pPr>
            <w:r>
              <w:rPr>
                <w:rFonts w:eastAsia="黑体"/>
                <w:lang w:bidi="ar"/>
              </w:rPr>
              <w:t>出口车道</w:t>
            </w:r>
          </w:p>
        </w:tc>
      </w:tr>
      <w:tr w14:paraId="29A6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2188" w:type="dxa"/>
            <w:vMerge w:val="continue"/>
            <w:tcBorders>
              <w:top w:val="single" w:color="auto" w:sz="12" w:space="0"/>
              <w:left w:val="single" w:color="auto" w:sz="12" w:space="0"/>
              <w:bottom w:val="single" w:color="auto" w:sz="4" w:space="0"/>
              <w:right w:val="single" w:color="auto" w:sz="4" w:space="0"/>
            </w:tcBorders>
            <w:noWrap w:val="0"/>
            <w:vAlign w:val="center"/>
          </w:tcPr>
          <w:p w14:paraId="16EC5A97">
            <w:pPr>
              <w:rPr>
                <w:rFonts w:eastAsia="黑体"/>
                <w:sz w:val="20"/>
                <w:szCs w:val="20"/>
              </w:rPr>
            </w:pPr>
          </w:p>
        </w:tc>
        <w:tc>
          <w:tcPr>
            <w:tcW w:w="1705" w:type="dxa"/>
            <w:tcBorders>
              <w:top w:val="single" w:color="auto" w:sz="2" w:space="0"/>
              <w:left w:val="single" w:color="auto" w:sz="4" w:space="0"/>
              <w:bottom w:val="single" w:color="auto" w:sz="4" w:space="0"/>
              <w:right w:val="single" w:color="auto" w:sz="4" w:space="0"/>
            </w:tcBorders>
            <w:noWrap w:val="0"/>
            <w:vAlign w:val="center"/>
          </w:tcPr>
          <w:p w14:paraId="068EA32F">
            <w:pPr>
              <w:jc w:val="center"/>
              <w:rPr>
                <w:rFonts w:eastAsia="黑体"/>
              </w:rPr>
            </w:pPr>
            <w:r>
              <w:rPr>
                <w:rFonts w:eastAsia="黑体"/>
                <w:lang w:bidi="ar"/>
              </w:rPr>
              <w:t>大车道</w:t>
            </w:r>
          </w:p>
        </w:tc>
        <w:tc>
          <w:tcPr>
            <w:tcW w:w="1706" w:type="dxa"/>
            <w:tcBorders>
              <w:top w:val="single" w:color="auto" w:sz="2" w:space="0"/>
              <w:left w:val="single" w:color="auto" w:sz="4" w:space="0"/>
              <w:bottom w:val="single" w:color="auto" w:sz="4" w:space="0"/>
              <w:right w:val="single" w:color="auto" w:sz="4" w:space="0"/>
            </w:tcBorders>
            <w:noWrap w:val="0"/>
            <w:vAlign w:val="center"/>
          </w:tcPr>
          <w:p w14:paraId="23BC37C7">
            <w:pPr>
              <w:jc w:val="center"/>
              <w:rPr>
                <w:rFonts w:eastAsia="黑体"/>
              </w:rPr>
            </w:pPr>
            <w:r>
              <w:rPr>
                <w:rFonts w:eastAsia="黑体"/>
                <w:lang w:bidi="ar"/>
              </w:rPr>
              <w:t>小车道</w:t>
            </w:r>
          </w:p>
        </w:tc>
        <w:tc>
          <w:tcPr>
            <w:tcW w:w="1706" w:type="dxa"/>
            <w:tcBorders>
              <w:top w:val="single" w:color="auto" w:sz="2" w:space="0"/>
              <w:left w:val="single" w:color="auto" w:sz="4" w:space="0"/>
              <w:bottom w:val="single" w:color="auto" w:sz="4" w:space="0"/>
              <w:right w:val="single" w:color="auto" w:sz="4" w:space="0"/>
            </w:tcBorders>
            <w:noWrap w:val="0"/>
            <w:vAlign w:val="center"/>
          </w:tcPr>
          <w:p w14:paraId="5ED35C2C">
            <w:pPr>
              <w:jc w:val="center"/>
              <w:rPr>
                <w:rFonts w:eastAsia="黑体"/>
              </w:rPr>
            </w:pPr>
            <w:r>
              <w:rPr>
                <w:rFonts w:eastAsia="黑体"/>
                <w:lang w:bidi="ar"/>
              </w:rPr>
              <w:t>大车道</w:t>
            </w:r>
          </w:p>
        </w:tc>
        <w:tc>
          <w:tcPr>
            <w:tcW w:w="1706" w:type="dxa"/>
            <w:tcBorders>
              <w:top w:val="single" w:color="auto" w:sz="2" w:space="0"/>
              <w:left w:val="single" w:color="auto" w:sz="4" w:space="0"/>
              <w:bottom w:val="single" w:color="auto" w:sz="4" w:space="0"/>
              <w:right w:val="single" w:color="auto" w:sz="12" w:space="0"/>
            </w:tcBorders>
            <w:noWrap w:val="0"/>
            <w:vAlign w:val="center"/>
          </w:tcPr>
          <w:p w14:paraId="2CA97D5D">
            <w:pPr>
              <w:jc w:val="center"/>
              <w:rPr>
                <w:rFonts w:eastAsia="黑体"/>
              </w:rPr>
            </w:pPr>
            <w:r>
              <w:rPr>
                <w:rFonts w:eastAsia="黑体"/>
                <w:lang w:bidi="ar"/>
              </w:rPr>
              <w:t>小车道</w:t>
            </w:r>
          </w:p>
        </w:tc>
      </w:tr>
      <w:tr w14:paraId="5517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dxa"/>
            <w:tcBorders>
              <w:top w:val="single" w:color="auto" w:sz="4" w:space="0"/>
              <w:left w:val="single" w:color="auto" w:sz="12" w:space="0"/>
              <w:bottom w:val="single" w:color="auto" w:sz="4" w:space="0"/>
              <w:right w:val="single" w:color="auto" w:sz="4" w:space="0"/>
            </w:tcBorders>
            <w:noWrap w:val="0"/>
            <w:vAlign w:val="center"/>
          </w:tcPr>
          <w:p w14:paraId="63DF4DEE">
            <w:pPr>
              <w:jc w:val="center"/>
              <w:rPr>
                <w:rFonts w:ascii="宋体" w:hAnsi="宋体"/>
              </w:rPr>
            </w:pPr>
            <w:r>
              <w:rPr>
                <w:rFonts w:ascii="宋体" w:hAnsi="宋体"/>
                <w:lang w:bidi="ar"/>
              </w:rPr>
              <w:t>V≥60</w:t>
            </w:r>
          </w:p>
        </w:tc>
        <w:tc>
          <w:tcPr>
            <w:tcW w:w="1705" w:type="dxa"/>
            <w:tcBorders>
              <w:top w:val="single" w:color="auto" w:sz="4" w:space="0"/>
              <w:left w:val="single" w:color="auto" w:sz="4" w:space="0"/>
              <w:bottom w:val="single" w:color="auto" w:sz="4" w:space="0"/>
              <w:right w:val="single" w:color="auto" w:sz="4" w:space="0"/>
            </w:tcBorders>
            <w:noWrap w:val="0"/>
            <w:vAlign w:val="center"/>
          </w:tcPr>
          <w:p w14:paraId="75181025">
            <w:pPr>
              <w:jc w:val="center"/>
              <w:rPr>
                <w:rFonts w:ascii="宋体" w:hAnsi="宋体"/>
              </w:rPr>
            </w:pPr>
            <w:r>
              <w:rPr>
                <w:rFonts w:ascii="宋体" w:hAnsi="宋体"/>
                <w:lang w:bidi="ar"/>
              </w:rPr>
              <w:t>3.25</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007E2C7D">
            <w:pPr>
              <w:jc w:val="center"/>
              <w:rPr>
                <w:rFonts w:ascii="宋体" w:hAnsi="宋体"/>
              </w:rPr>
            </w:pPr>
            <w:r>
              <w:rPr>
                <w:rFonts w:ascii="宋体" w:hAnsi="宋体"/>
                <w:lang w:bidi="ar"/>
              </w:rPr>
              <w:t>3.00</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2E9C5736">
            <w:pPr>
              <w:jc w:val="center"/>
              <w:rPr>
                <w:rFonts w:ascii="宋体" w:hAnsi="宋体"/>
              </w:rPr>
            </w:pPr>
            <w:r>
              <w:rPr>
                <w:rFonts w:ascii="宋体" w:hAnsi="宋体"/>
                <w:lang w:bidi="ar"/>
              </w:rPr>
              <w:t>3.50</w:t>
            </w:r>
          </w:p>
        </w:tc>
        <w:tc>
          <w:tcPr>
            <w:tcW w:w="1706" w:type="dxa"/>
            <w:tcBorders>
              <w:top w:val="single" w:color="auto" w:sz="4" w:space="0"/>
              <w:left w:val="single" w:color="auto" w:sz="4" w:space="0"/>
              <w:bottom w:val="single" w:color="auto" w:sz="4" w:space="0"/>
              <w:right w:val="single" w:color="auto" w:sz="12" w:space="0"/>
            </w:tcBorders>
            <w:noWrap w:val="0"/>
            <w:vAlign w:val="center"/>
          </w:tcPr>
          <w:p w14:paraId="2E6577D1">
            <w:pPr>
              <w:jc w:val="center"/>
              <w:rPr>
                <w:rFonts w:ascii="宋体" w:hAnsi="宋体"/>
              </w:rPr>
            </w:pPr>
            <w:r>
              <w:rPr>
                <w:rFonts w:ascii="宋体" w:hAnsi="宋体"/>
                <w:lang w:bidi="ar"/>
              </w:rPr>
              <w:t>3.25</w:t>
            </w:r>
          </w:p>
        </w:tc>
      </w:tr>
      <w:tr w14:paraId="2793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dxa"/>
            <w:tcBorders>
              <w:top w:val="single" w:color="auto" w:sz="4" w:space="0"/>
              <w:left w:val="single" w:color="auto" w:sz="12" w:space="0"/>
              <w:bottom w:val="single" w:color="auto" w:sz="4" w:space="0"/>
              <w:right w:val="single" w:color="auto" w:sz="4" w:space="0"/>
            </w:tcBorders>
            <w:noWrap w:val="0"/>
            <w:vAlign w:val="center"/>
          </w:tcPr>
          <w:p w14:paraId="07C80B69">
            <w:pPr>
              <w:ind w:firstLine="181"/>
              <w:jc w:val="center"/>
              <w:rPr>
                <w:rFonts w:ascii="宋体" w:hAnsi="宋体"/>
              </w:rPr>
            </w:pPr>
            <w:r>
              <w:rPr>
                <w:rFonts w:ascii="宋体" w:hAnsi="宋体"/>
                <w:lang w:bidi="ar"/>
              </w:rPr>
              <w:t>40≤V＜60</w:t>
            </w:r>
          </w:p>
        </w:tc>
        <w:tc>
          <w:tcPr>
            <w:tcW w:w="1705" w:type="dxa"/>
            <w:tcBorders>
              <w:top w:val="single" w:color="auto" w:sz="4" w:space="0"/>
              <w:left w:val="single" w:color="auto" w:sz="4" w:space="0"/>
              <w:bottom w:val="single" w:color="auto" w:sz="4" w:space="0"/>
              <w:right w:val="single" w:color="auto" w:sz="4" w:space="0"/>
            </w:tcBorders>
            <w:noWrap w:val="0"/>
            <w:vAlign w:val="center"/>
          </w:tcPr>
          <w:p w14:paraId="676B3C74">
            <w:pPr>
              <w:jc w:val="center"/>
              <w:rPr>
                <w:rFonts w:ascii="宋体" w:hAnsi="宋体"/>
              </w:rPr>
            </w:pPr>
            <w:r>
              <w:rPr>
                <w:rFonts w:ascii="宋体" w:hAnsi="宋体"/>
                <w:lang w:bidi="ar"/>
              </w:rPr>
              <w:t>3.25</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7ADA9DCD">
            <w:pPr>
              <w:jc w:val="center"/>
              <w:rPr>
                <w:rFonts w:ascii="宋体" w:hAnsi="宋体"/>
              </w:rPr>
            </w:pPr>
            <w:r>
              <w:rPr>
                <w:rFonts w:ascii="宋体" w:hAnsi="宋体"/>
                <w:lang w:bidi="ar"/>
              </w:rPr>
              <w:t>3.00</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151FFE43">
            <w:pPr>
              <w:jc w:val="center"/>
              <w:rPr>
                <w:rFonts w:ascii="宋体" w:hAnsi="宋体"/>
              </w:rPr>
            </w:pPr>
            <w:r>
              <w:rPr>
                <w:rFonts w:ascii="宋体" w:hAnsi="宋体"/>
                <w:lang w:bidi="ar"/>
              </w:rPr>
              <w:t>3.25</w:t>
            </w:r>
          </w:p>
        </w:tc>
        <w:tc>
          <w:tcPr>
            <w:tcW w:w="1706" w:type="dxa"/>
            <w:tcBorders>
              <w:top w:val="single" w:color="auto" w:sz="4" w:space="0"/>
              <w:left w:val="single" w:color="auto" w:sz="4" w:space="0"/>
              <w:bottom w:val="single" w:color="auto" w:sz="4" w:space="0"/>
              <w:right w:val="single" w:color="auto" w:sz="12" w:space="0"/>
            </w:tcBorders>
            <w:noWrap w:val="0"/>
            <w:vAlign w:val="center"/>
          </w:tcPr>
          <w:p w14:paraId="5DCB307E">
            <w:pPr>
              <w:jc w:val="center"/>
              <w:rPr>
                <w:rFonts w:ascii="宋体" w:hAnsi="宋体"/>
              </w:rPr>
            </w:pPr>
            <w:r>
              <w:rPr>
                <w:rFonts w:ascii="宋体" w:hAnsi="宋体"/>
                <w:lang w:bidi="ar"/>
              </w:rPr>
              <w:t>3.00</w:t>
            </w:r>
          </w:p>
        </w:tc>
      </w:tr>
      <w:tr w14:paraId="00D8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dxa"/>
            <w:tcBorders>
              <w:top w:val="single" w:color="auto" w:sz="4" w:space="0"/>
              <w:left w:val="single" w:color="auto" w:sz="12" w:space="0"/>
              <w:bottom w:val="single" w:color="auto" w:sz="12" w:space="0"/>
              <w:right w:val="single" w:color="auto" w:sz="4" w:space="0"/>
            </w:tcBorders>
            <w:noWrap w:val="0"/>
            <w:vAlign w:val="center"/>
          </w:tcPr>
          <w:p w14:paraId="26AE4F63">
            <w:pPr>
              <w:ind w:firstLine="181"/>
              <w:jc w:val="center"/>
              <w:rPr>
                <w:rFonts w:ascii="宋体" w:hAnsi="宋体"/>
              </w:rPr>
            </w:pPr>
            <w:r>
              <w:rPr>
                <w:rFonts w:ascii="宋体" w:hAnsi="宋体"/>
                <w:lang w:bidi="ar"/>
              </w:rPr>
              <w:t>V＜40</w:t>
            </w:r>
          </w:p>
        </w:tc>
        <w:tc>
          <w:tcPr>
            <w:tcW w:w="1705" w:type="dxa"/>
            <w:tcBorders>
              <w:top w:val="single" w:color="auto" w:sz="4" w:space="0"/>
              <w:left w:val="single" w:color="auto" w:sz="4" w:space="0"/>
              <w:bottom w:val="single" w:color="auto" w:sz="12" w:space="0"/>
              <w:right w:val="single" w:color="auto" w:sz="4" w:space="0"/>
            </w:tcBorders>
            <w:noWrap w:val="0"/>
            <w:vAlign w:val="center"/>
          </w:tcPr>
          <w:p w14:paraId="051AAA9F">
            <w:pPr>
              <w:jc w:val="center"/>
              <w:rPr>
                <w:rFonts w:ascii="宋体" w:hAnsi="宋体"/>
              </w:rPr>
            </w:pPr>
            <w:r>
              <w:rPr>
                <w:rFonts w:ascii="宋体" w:hAnsi="宋体"/>
                <w:lang w:bidi="ar"/>
              </w:rPr>
              <w:t>3.00</w:t>
            </w:r>
          </w:p>
        </w:tc>
        <w:tc>
          <w:tcPr>
            <w:tcW w:w="1706" w:type="dxa"/>
            <w:tcBorders>
              <w:top w:val="single" w:color="auto" w:sz="4" w:space="0"/>
              <w:left w:val="single" w:color="auto" w:sz="4" w:space="0"/>
              <w:bottom w:val="single" w:color="auto" w:sz="12" w:space="0"/>
              <w:right w:val="single" w:color="auto" w:sz="4" w:space="0"/>
            </w:tcBorders>
            <w:noWrap w:val="0"/>
            <w:vAlign w:val="center"/>
          </w:tcPr>
          <w:p w14:paraId="316196F7">
            <w:pPr>
              <w:jc w:val="center"/>
              <w:rPr>
                <w:rFonts w:ascii="宋体" w:hAnsi="宋体"/>
              </w:rPr>
            </w:pPr>
            <w:r>
              <w:rPr>
                <w:rFonts w:ascii="宋体" w:hAnsi="宋体"/>
                <w:lang w:bidi="ar"/>
              </w:rPr>
              <w:t>3.00</w:t>
            </w:r>
          </w:p>
        </w:tc>
        <w:tc>
          <w:tcPr>
            <w:tcW w:w="1706" w:type="dxa"/>
            <w:tcBorders>
              <w:top w:val="single" w:color="auto" w:sz="4" w:space="0"/>
              <w:left w:val="single" w:color="auto" w:sz="4" w:space="0"/>
              <w:bottom w:val="single" w:color="auto" w:sz="12" w:space="0"/>
              <w:right w:val="single" w:color="auto" w:sz="4" w:space="0"/>
            </w:tcBorders>
            <w:noWrap w:val="0"/>
            <w:vAlign w:val="center"/>
          </w:tcPr>
          <w:p w14:paraId="18A3814F">
            <w:pPr>
              <w:jc w:val="center"/>
              <w:rPr>
                <w:rFonts w:ascii="宋体" w:hAnsi="宋体"/>
              </w:rPr>
            </w:pPr>
            <w:r>
              <w:rPr>
                <w:rFonts w:ascii="宋体" w:hAnsi="宋体"/>
                <w:lang w:bidi="ar"/>
              </w:rPr>
              <w:t>3.00</w:t>
            </w:r>
          </w:p>
        </w:tc>
        <w:tc>
          <w:tcPr>
            <w:tcW w:w="1706" w:type="dxa"/>
            <w:tcBorders>
              <w:top w:val="single" w:color="auto" w:sz="4" w:space="0"/>
              <w:left w:val="single" w:color="auto" w:sz="4" w:space="0"/>
              <w:bottom w:val="single" w:color="auto" w:sz="12" w:space="0"/>
              <w:right w:val="single" w:color="auto" w:sz="12" w:space="0"/>
            </w:tcBorders>
            <w:noWrap w:val="0"/>
            <w:vAlign w:val="center"/>
          </w:tcPr>
          <w:p w14:paraId="006F5F5E">
            <w:pPr>
              <w:jc w:val="center"/>
              <w:rPr>
                <w:rFonts w:ascii="宋体" w:hAnsi="宋体"/>
              </w:rPr>
            </w:pPr>
            <w:r>
              <w:rPr>
                <w:rFonts w:ascii="宋体" w:hAnsi="宋体"/>
                <w:lang w:bidi="ar"/>
              </w:rPr>
              <w:t>3.00</w:t>
            </w:r>
          </w:p>
        </w:tc>
      </w:tr>
    </w:tbl>
    <w:p w14:paraId="6A6D95D2">
      <w:pPr>
        <w:rPr>
          <w:rFonts w:eastAsia="黑体"/>
          <w:sz w:val="28"/>
          <w:szCs w:val="28"/>
          <w:lang w:bidi="ar"/>
        </w:rPr>
      </w:pPr>
    </w:p>
    <w:p w14:paraId="6E39033D">
      <w:pPr>
        <w:rPr>
          <w:rFonts w:eastAsia="黑体"/>
          <w:sz w:val="28"/>
          <w:szCs w:val="28"/>
          <w:lang w:bidi="ar"/>
        </w:rPr>
      </w:pPr>
      <w:r>
        <w:rPr>
          <w:rFonts w:eastAsia="黑体"/>
          <w:sz w:val="28"/>
          <w:szCs w:val="28"/>
          <w:lang w:bidi="ar"/>
        </w:rPr>
        <w:t>附表7—3</w:t>
      </w:r>
    </w:p>
    <w:p w14:paraId="0D901BE5">
      <w:pPr>
        <w:autoSpaceDE w:val="0"/>
        <w:autoSpaceDN w:val="0"/>
        <w:adjustRightInd w:val="0"/>
        <w:jc w:val="center"/>
        <w:rPr>
          <w:rFonts w:eastAsia="黑体"/>
          <w:sz w:val="28"/>
          <w:szCs w:val="28"/>
          <w:lang w:bidi="ar"/>
        </w:rPr>
      </w:pPr>
      <w:r>
        <w:rPr>
          <w:rFonts w:eastAsia="黑体"/>
          <w:sz w:val="28"/>
          <w:szCs w:val="28"/>
          <w:lang w:bidi="ar"/>
        </w:rPr>
        <w:t>人行道、非机动车道最小宽度（单位：m）</w:t>
      </w:r>
    </w:p>
    <w:tbl>
      <w:tblPr>
        <w:tblStyle w:val="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644"/>
        <w:gridCol w:w="1561"/>
        <w:gridCol w:w="1474"/>
        <w:gridCol w:w="1644"/>
        <w:gridCol w:w="1735"/>
      </w:tblGrid>
      <w:tr w14:paraId="527F6D4D">
        <w:tblPrEx>
          <w:tblCellMar>
            <w:top w:w="0" w:type="dxa"/>
            <w:left w:w="108" w:type="dxa"/>
            <w:bottom w:w="0" w:type="dxa"/>
            <w:right w:w="108" w:type="dxa"/>
          </w:tblCellMar>
        </w:tblPrEx>
        <w:trPr>
          <w:cantSplit/>
          <w:trHeight w:val="380" w:hRule="atLeast"/>
          <w:jc w:val="center"/>
        </w:trPr>
        <w:tc>
          <w:tcPr>
            <w:tcW w:w="2644" w:type="dxa"/>
            <w:vMerge w:val="restart"/>
            <w:tcBorders>
              <w:top w:val="single" w:color="000000" w:sz="12" w:space="0"/>
              <w:left w:val="single" w:color="000000" w:sz="12" w:space="0"/>
              <w:bottom w:val="single" w:color="000000" w:sz="6" w:space="0"/>
              <w:right w:val="single" w:color="000000" w:sz="6" w:space="0"/>
            </w:tcBorders>
            <w:noWrap w:val="0"/>
            <w:vAlign w:val="center"/>
          </w:tcPr>
          <w:p w14:paraId="6A2B42D1">
            <w:pPr>
              <w:jc w:val="center"/>
              <w:rPr>
                <w:rFonts w:eastAsia="黑体"/>
              </w:rPr>
            </w:pPr>
            <w:r>
              <w:rPr>
                <w:rFonts w:eastAsia="黑体"/>
                <w:lang w:bidi="ar"/>
              </w:rPr>
              <w:t>项目</w:t>
            </w:r>
          </w:p>
        </w:tc>
        <w:tc>
          <w:tcPr>
            <w:tcW w:w="3035" w:type="dxa"/>
            <w:gridSpan w:val="2"/>
            <w:tcBorders>
              <w:top w:val="single" w:color="000000" w:sz="12" w:space="0"/>
              <w:left w:val="single" w:color="000000" w:sz="6" w:space="0"/>
              <w:bottom w:val="single" w:color="auto" w:sz="2" w:space="0"/>
              <w:right w:val="single" w:color="000000" w:sz="6" w:space="0"/>
            </w:tcBorders>
            <w:noWrap w:val="0"/>
            <w:vAlign w:val="center"/>
          </w:tcPr>
          <w:p w14:paraId="01768873">
            <w:pPr>
              <w:widowControl/>
              <w:jc w:val="center"/>
              <w:rPr>
                <w:rFonts w:eastAsia="黑体"/>
              </w:rPr>
            </w:pPr>
            <w:r>
              <w:rPr>
                <w:rFonts w:eastAsia="黑体"/>
                <w:lang w:bidi="ar"/>
              </w:rPr>
              <w:t>人行道最小宽度</w:t>
            </w:r>
          </w:p>
        </w:tc>
        <w:tc>
          <w:tcPr>
            <w:tcW w:w="3379" w:type="dxa"/>
            <w:gridSpan w:val="2"/>
            <w:tcBorders>
              <w:top w:val="single" w:color="000000" w:sz="12" w:space="0"/>
              <w:left w:val="single" w:color="000000" w:sz="6" w:space="0"/>
              <w:bottom w:val="single" w:color="auto" w:sz="2" w:space="0"/>
              <w:right w:val="single" w:color="000000" w:sz="12" w:space="0"/>
            </w:tcBorders>
            <w:noWrap w:val="0"/>
            <w:vAlign w:val="center"/>
          </w:tcPr>
          <w:p w14:paraId="703F6643">
            <w:pPr>
              <w:widowControl/>
              <w:ind w:firstLine="181"/>
              <w:jc w:val="center"/>
              <w:rPr>
                <w:rFonts w:eastAsia="黑体"/>
              </w:rPr>
            </w:pPr>
            <w:r>
              <w:rPr>
                <w:rFonts w:eastAsia="黑体"/>
                <w:lang w:bidi="ar"/>
              </w:rPr>
              <w:t>非机动车道最小宽度</w:t>
            </w:r>
          </w:p>
        </w:tc>
      </w:tr>
      <w:tr w14:paraId="2CE760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80" w:hRule="atLeast"/>
          <w:jc w:val="center"/>
        </w:trPr>
        <w:tc>
          <w:tcPr>
            <w:tcW w:w="2644" w:type="dxa"/>
            <w:vMerge w:val="continue"/>
            <w:tcBorders>
              <w:top w:val="single" w:color="000000" w:sz="12" w:space="0"/>
              <w:left w:val="single" w:color="000000" w:sz="12" w:space="0"/>
              <w:bottom w:val="single" w:color="000000" w:sz="6" w:space="0"/>
              <w:right w:val="single" w:color="000000" w:sz="6" w:space="0"/>
            </w:tcBorders>
            <w:noWrap w:val="0"/>
            <w:vAlign w:val="center"/>
          </w:tcPr>
          <w:p w14:paraId="64B0419E">
            <w:pPr>
              <w:rPr>
                <w:rFonts w:eastAsia="黑体"/>
                <w:sz w:val="20"/>
                <w:szCs w:val="20"/>
              </w:rPr>
            </w:pPr>
          </w:p>
        </w:tc>
        <w:tc>
          <w:tcPr>
            <w:tcW w:w="1561" w:type="dxa"/>
            <w:tcBorders>
              <w:top w:val="single" w:color="auto" w:sz="2" w:space="0"/>
              <w:left w:val="single" w:color="000000" w:sz="6" w:space="0"/>
              <w:bottom w:val="single" w:color="000000" w:sz="6" w:space="0"/>
              <w:right w:val="single" w:color="000000" w:sz="6" w:space="0"/>
            </w:tcBorders>
            <w:noWrap w:val="0"/>
            <w:vAlign w:val="center"/>
          </w:tcPr>
          <w:p w14:paraId="5241D152">
            <w:pPr>
              <w:widowControl/>
              <w:ind w:firstLine="181"/>
              <w:jc w:val="center"/>
              <w:rPr>
                <w:rFonts w:eastAsia="黑体"/>
              </w:rPr>
            </w:pPr>
            <w:r>
              <w:rPr>
                <w:rFonts w:eastAsia="黑体"/>
                <w:lang w:bidi="ar"/>
              </w:rPr>
              <w:t>一般值</w:t>
            </w:r>
          </w:p>
        </w:tc>
        <w:tc>
          <w:tcPr>
            <w:tcW w:w="1474" w:type="dxa"/>
            <w:tcBorders>
              <w:top w:val="single" w:color="auto" w:sz="2" w:space="0"/>
              <w:left w:val="single" w:color="000000" w:sz="6" w:space="0"/>
              <w:bottom w:val="single" w:color="000000" w:sz="6" w:space="0"/>
              <w:right w:val="single" w:color="000000" w:sz="6" w:space="0"/>
            </w:tcBorders>
            <w:noWrap w:val="0"/>
            <w:vAlign w:val="center"/>
          </w:tcPr>
          <w:p w14:paraId="566A119A">
            <w:pPr>
              <w:widowControl/>
              <w:ind w:firstLine="181"/>
              <w:jc w:val="center"/>
              <w:rPr>
                <w:rFonts w:eastAsia="黑体"/>
              </w:rPr>
            </w:pPr>
            <w:r>
              <w:rPr>
                <w:rFonts w:eastAsia="黑体"/>
                <w:lang w:bidi="ar"/>
              </w:rPr>
              <w:t>最小值</w:t>
            </w:r>
          </w:p>
        </w:tc>
        <w:tc>
          <w:tcPr>
            <w:tcW w:w="1644" w:type="dxa"/>
            <w:tcBorders>
              <w:top w:val="single" w:color="auto" w:sz="2" w:space="0"/>
              <w:left w:val="single" w:color="000000" w:sz="6" w:space="0"/>
              <w:bottom w:val="single" w:color="000000" w:sz="6" w:space="0"/>
              <w:right w:val="single" w:color="000000" w:sz="6" w:space="0"/>
            </w:tcBorders>
            <w:noWrap w:val="0"/>
            <w:vAlign w:val="center"/>
          </w:tcPr>
          <w:p w14:paraId="017FEE19">
            <w:pPr>
              <w:widowControl/>
              <w:ind w:firstLine="181"/>
              <w:jc w:val="center"/>
              <w:rPr>
                <w:rFonts w:eastAsia="黑体"/>
              </w:rPr>
            </w:pPr>
            <w:r>
              <w:rPr>
                <w:rFonts w:eastAsia="黑体"/>
                <w:lang w:bidi="ar"/>
              </w:rPr>
              <w:t>一般值</w:t>
            </w:r>
          </w:p>
        </w:tc>
        <w:tc>
          <w:tcPr>
            <w:tcW w:w="1735" w:type="dxa"/>
            <w:tcBorders>
              <w:top w:val="single" w:color="auto" w:sz="2" w:space="0"/>
              <w:left w:val="single" w:color="000000" w:sz="6" w:space="0"/>
              <w:bottom w:val="single" w:color="000000" w:sz="6" w:space="0"/>
              <w:right w:val="single" w:color="000000" w:sz="12" w:space="0"/>
            </w:tcBorders>
            <w:noWrap w:val="0"/>
            <w:vAlign w:val="center"/>
          </w:tcPr>
          <w:p w14:paraId="502D0C4D">
            <w:pPr>
              <w:widowControl/>
              <w:ind w:firstLine="181"/>
              <w:jc w:val="center"/>
              <w:rPr>
                <w:rFonts w:eastAsia="黑体"/>
              </w:rPr>
            </w:pPr>
            <w:r>
              <w:rPr>
                <w:rFonts w:eastAsia="黑体"/>
                <w:lang w:bidi="ar"/>
              </w:rPr>
              <w:t>最小值</w:t>
            </w:r>
          </w:p>
        </w:tc>
      </w:tr>
      <w:tr w14:paraId="6FF6C5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2644" w:type="dxa"/>
            <w:tcBorders>
              <w:top w:val="single" w:color="000000" w:sz="6" w:space="0"/>
              <w:left w:val="single" w:color="000000" w:sz="12" w:space="0"/>
              <w:bottom w:val="single" w:color="000000" w:sz="6" w:space="0"/>
              <w:right w:val="single" w:color="000000" w:sz="6" w:space="0"/>
            </w:tcBorders>
            <w:noWrap w:val="0"/>
            <w:vAlign w:val="center"/>
          </w:tcPr>
          <w:p w14:paraId="4FF6C1F8">
            <w:pPr>
              <w:widowControl/>
              <w:jc w:val="center"/>
              <w:rPr>
                <w:rFonts w:eastAsia="黑体"/>
              </w:rPr>
            </w:pPr>
            <w:r>
              <w:rPr>
                <w:rFonts w:eastAsia="黑体"/>
                <w:lang w:bidi="ar"/>
              </w:rPr>
              <w:t>各级道路</w:t>
            </w:r>
          </w:p>
        </w:tc>
        <w:tc>
          <w:tcPr>
            <w:tcW w:w="1561" w:type="dxa"/>
            <w:tcBorders>
              <w:top w:val="single" w:color="000000" w:sz="6" w:space="0"/>
              <w:left w:val="single" w:color="000000" w:sz="6" w:space="0"/>
              <w:bottom w:val="single" w:color="000000" w:sz="6" w:space="0"/>
              <w:right w:val="single" w:color="000000" w:sz="6" w:space="0"/>
            </w:tcBorders>
            <w:noWrap w:val="0"/>
            <w:vAlign w:val="center"/>
          </w:tcPr>
          <w:p w14:paraId="01647E7F">
            <w:pPr>
              <w:widowControl/>
              <w:jc w:val="center"/>
              <w:rPr>
                <w:rFonts w:ascii="宋体" w:hAnsi="宋体"/>
              </w:rPr>
            </w:pPr>
            <w:r>
              <w:rPr>
                <w:rFonts w:ascii="宋体" w:hAnsi="宋体"/>
                <w:lang w:bidi="ar"/>
              </w:rPr>
              <w:t>3.0</w:t>
            </w:r>
          </w:p>
        </w:tc>
        <w:tc>
          <w:tcPr>
            <w:tcW w:w="1474" w:type="dxa"/>
            <w:tcBorders>
              <w:top w:val="single" w:color="000000" w:sz="6" w:space="0"/>
              <w:left w:val="single" w:color="000000" w:sz="6" w:space="0"/>
              <w:bottom w:val="single" w:color="000000" w:sz="6" w:space="0"/>
              <w:right w:val="single" w:color="000000" w:sz="6" w:space="0"/>
            </w:tcBorders>
            <w:noWrap w:val="0"/>
            <w:vAlign w:val="center"/>
          </w:tcPr>
          <w:p w14:paraId="47E72C37">
            <w:pPr>
              <w:widowControl/>
              <w:jc w:val="center"/>
              <w:rPr>
                <w:rFonts w:ascii="宋体" w:hAnsi="宋体"/>
              </w:rPr>
            </w:pPr>
            <w:r>
              <w:rPr>
                <w:rFonts w:ascii="宋体" w:hAnsi="宋体"/>
                <w:lang w:bidi="ar"/>
              </w:rPr>
              <w:t>2.0</w:t>
            </w:r>
          </w:p>
        </w:tc>
        <w:tc>
          <w:tcPr>
            <w:tcW w:w="1644" w:type="dxa"/>
            <w:vMerge w:val="restart"/>
            <w:tcBorders>
              <w:top w:val="single" w:color="000000" w:sz="6" w:space="0"/>
              <w:left w:val="single" w:color="000000" w:sz="6" w:space="0"/>
              <w:bottom w:val="single" w:color="000000" w:sz="12" w:space="0"/>
              <w:right w:val="single" w:color="000000" w:sz="6" w:space="0"/>
            </w:tcBorders>
            <w:noWrap w:val="0"/>
            <w:vAlign w:val="center"/>
          </w:tcPr>
          <w:p w14:paraId="5AA98E91">
            <w:pPr>
              <w:widowControl/>
              <w:ind w:firstLine="181"/>
              <w:jc w:val="center"/>
              <w:rPr>
                <w:rFonts w:ascii="宋体" w:hAnsi="宋体"/>
              </w:rPr>
            </w:pPr>
            <w:r>
              <w:rPr>
                <w:rFonts w:ascii="宋体" w:hAnsi="宋体"/>
                <w:lang w:bidi="ar"/>
              </w:rPr>
              <w:t>2.5</w:t>
            </w:r>
          </w:p>
        </w:tc>
        <w:tc>
          <w:tcPr>
            <w:tcW w:w="1735" w:type="dxa"/>
            <w:vMerge w:val="restart"/>
            <w:tcBorders>
              <w:top w:val="single" w:color="000000" w:sz="6" w:space="0"/>
              <w:left w:val="single" w:color="000000" w:sz="6" w:space="0"/>
              <w:bottom w:val="single" w:color="000000" w:sz="12" w:space="0"/>
              <w:right w:val="single" w:color="000000" w:sz="12" w:space="0"/>
            </w:tcBorders>
            <w:noWrap w:val="0"/>
            <w:vAlign w:val="center"/>
          </w:tcPr>
          <w:p w14:paraId="283F84B5">
            <w:pPr>
              <w:widowControl/>
              <w:ind w:firstLine="181"/>
              <w:jc w:val="center"/>
              <w:rPr>
                <w:rFonts w:ascii="宋体" w:hAnsi="宋体"/>
              </w:rPr>
            </w:pPr>
            <w:r>
              <w:rPr>
                <w:rFonts w:ascii="宋体" w:hAnsi="宋体"/>
                <w:lang w:bidi="ar"/>
              </w:rPr>
              <w:t>2.0</w:t>
            </w:r>
          </w:p>
        </w:tc>
      </w:tr>
      <w:tr w14:paraId="4C9838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2644" w:type="dxa"/>
            <w:tcBorders>
              <w:top w:val="single" w:color="000000" w:sz="6" w:space="0"/>
              <w:left w:val="single" w:color="000000" w:sz="12" w:space="0"/>
              <w:bottom w:val="single" w:color="000000" w:sz="6" w:space="0"/>
              <w:right w:val="single" w:color="000000" w:sz="6" w:space="0"/>
            </w:tcBorders>
            <w:noWrap w:val="0"/>
            <w:vAlign w:val="center"/>
          </w:tcPr>
          <w:p w14:paraId="7A6EA7E9">
            <w:pPr>
              <w:widowControl/>
              <w:jc w:val="center"/>
              <w:rPr>
                <w:rFonts w:eastAsia="黑体"/>
              </w:rPr>
            </w:pPr>
            <w:r>
              <w:rPr>
                <w:rFonts w:eastAsia="黑体"/>
                <w:lang w:bidi="ar"/>
              </w:rPr>
              <w:t>商业或公共场所最小路段</w:t>
            </w:r>
          </w:p>
        </w:tc>
        <w:tc>
          <w:tcPr>
            <w:tcW w:w="1561" w:type="dxa"/>
            <w:tcBorders>
              <w:top w:val="single" w:color="000000" w:sz="6" w:space="0"/>
              <w:left w:val="single" w:color="000000" w:sz="6" w:space="0"/>
              <w:bottom w:val="single" w:color="000000" w:sz="6" w:space="0"/>
              <w:right w:val="single" w:color="000000" w:sz="6" w:space="0"/>
            </w:tcBorders>
            <w:noWrap w:val="0"/>
            <w:vAlign w:val="center"/>
          </w:tcPr>
          <w:p w14:paraId="57EC225F">
            <w:pPr>
              <w:widowControl/>
              <w:jc w:val="center"/>
              <w:rPr>
                <w:rFonts w:ascii="宋体" w:hAnsi="宋体"/>
              </w:rPr>
            </w:pPr>
            <w:r>
              <w:rPr>
                <w:rFonts w:ascii="宋体" w:hAnsi="宋体"/>
                <w:lang w:bidi="ar"/>
              </w:rPr>
              <w:t>5.0</w:t>
            </w:r>
          </w:p>
        </w:tc>
        <w:tc>
          <w:tcPr>
            <w:tcW w:w="1474" w:type="dxa"/>
            <w:tcBorders>
              <w:top w:val="single" w:color="000000" w:sz="6" w:space="0"/>
              <w:left w:val="single" w:color="000000" w:sz="6" w:space="0"/>
              <w:bottom w:val="single" w:color="000000" w:sz="6" w:space="0"/>
              <w:right w:val="single" w:color="000000" w:sz="6" w:space="0"/>
            </w:tcBorders>
            <w:noWrap w:val="0"/>
            <w:vAlign w:val="center"/>
          </w:tcPr>
          <w:p w14:paraId="25417034">
            <w:pPr>
              <w:widowControl/>
              <w:jc w:val="center"/>
              <w:rPr>
                <w:rFonts w:ascii="宋体" w:hAnsi="宋体"/>
              </w:rPr>
            </w:pPr>
            <w:r>
              <w:rPr>
                <w:rFonts w:ascii="宋体" w:hAnsi="宋体"/>
                <w:lang w:bidi="ar"/>
              </w:rPr>
              <w:t>4.0</w:t>
            </w:r>
          </w:p>
        </w:tc>
        <w:tc>
          <w:tcPr>
            <w:tcW w:w="1644" w:type="dxa"/>
            <w:vMerge w:val="continue"/>
            <w:tcBorders>
              <w:top w:val="single" w:color="000000" w:sz="6" w:space="0"/>
              <w:left w:val="single" w:color="000000" w:sz="6" w:space="0"/>
              <w:bottom w:val="single" w:color="000000" w:sz="12" w:space="0"/>
              <w:right w:val="single" w:color="000000" w:sz="6" w:space="0"/>
            </w:tcBorders>
            <w:noWrap w:val="0"/>
            <w:vAlign w:val="center"/>
          </w:tcPr>
          <w:p w14:paraId="69326CE4">
            <w:pPr>
              <w:rPr>
                <w:sz w:val="20"/>
                <w:szCs w:val="20"/>
              </w:rPr>
            </w:pPr>
          </w:p>
        </w:tc>
        <w:tc>
          <w:tcPr>
            <w:tcW w:w="1735" w:type="dxa"/>
            <w:vMerge w:val="continue"/>
            <w:tcBorders>
              <w:top w:val="single" w:color="000000" w:sz="6" w:space="0"/>
              <w:left w:val="single" w:color="000000" w:sz="6" w:space="0"/>
              <w:bottom w:val="single" w:color="000000" w:sz="12" w:space="0"/>
              <w:right w:val="single" w:color="000000" w:sz="12" w:space="0"/>
            </w:tcBorders>
            <w:noWrap w:val="0"/>
            <w:vAlign w:val="center"/>
          </w:tcPr>
          <w:p w14:paraId="00B53BC0">
            <w:pPr>
              <w:rPr>
                <w:sz w:val="20"/>
                <w:szCs w:val="20"/>
              </w:rPr>
            </w:pPr>
          </w:p>
        </w:tc>
      </w:tr>
      <w:tr w14:paraId="2BBB7A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2644" w:type="dxa"/>
            <w:tcBorders>
              <w:top w:val="single" w:color="000000" w:sz="6" w:space="0"/>
              <w:left w:val="single" w:color="000000" w:sz="12" w:space="0"/>
              <w:bottom w:val="single" w:color="000000" w:sz="6" w:space="0"/>
              <w:right w:val="single" w:color="000000" w:sz="6" w:space="0"/>
            </w:tcBorders>
            <w:noWrap w:val="0"/>
            <w:vAlign w:val="center"/>
          </w:tcPr>
          <w:p w14:paraId="279116D1">
            <w:pPr>
              <w:widowControl/>
              <w:jc w:val="center"/>
              <w:rPr>
                <w:rFonts w:eastAsia="黑体"/>
              </w:rPr>
            </w:pPr>
            <w:r>
              <w:rPr>
                <w:rFonts w:eastAsia="黑体"/>
                <w:lang w:bidi="ar"/>
              </w:rPr>
              <w:t>火车站、码头附近路段</w:t>
            </w:r>
          </w:p>
        </w:tc>
        <w:tc>
          <w:tcPr>
            <w:tcW w:w="1561" w:type="dxa"/>
            <w:tcBorders>
              <w:top w:val="single" w:color="000000" w:sz="6" w:space="0"/>
              <w:left w:val="single" w:color="000000" w:sz="6" w:space="0"/>
              <w:bottom w:val="single" w:color="000000" w:sz="6" w:space="0"/>
              <w:right w:val="single" w:color="000000" w:sz="6" w:space="0"/>
            </w:tcBorders>
            <w:noWrap w:val="0"/>
            <w:vAlign w:val="center"/>
          </w:tcPr>
          <w:p w14:paraId="2DFB943B">
            <w:pPr>
              <w:widowControl/>
              <w:jc w:val="center"/>
              <w:rPr>
                <w:rFonts w:ascii="宋体" w:hAnsi="宋体"/>
              </w:rPr>
            </w:pPr>
            <w:r>
              <w:rPr>
                <w:rFonts w:ascii="宋体" w:hAnsi="宋体"/>
                <w:lang w:bidi="ar"/>
              </w:rPr>
              <w:t>5.0</w:t>
            </w:r>
          </w:p>
        </w:tc>
        <w:tc>
          <w:tcPr>
            <w:tcW w:w="1474" w:type="dxa"/>
            <w:tcBorders>
              <w:top w:val="single" w:color="000000" w:sz="6" w:space="0"/>
              <w:left w:val="single" w:color="000000" w:sz="6" w:space="0"/>
              <w:bottom w:val="single" w:color="000000" w:sz="6" w:space="0"/>
              <w:right w:val="single" w:color="000000" w:sz="6" w:space="0"/>
            </w:tcBorders>
            <w:noWrap w:val="0"/>
            <w:vAlign w:val="center"/>
          </w:tcPr>
          <w:p w14:paraId="5FDE6ADE">
            <w:pPr>
              <w:widowControl/>
              <w:jc w:val="center"/>
              <w:rPr>
                <w:rFonts w:ascii="宋体" w:hAnsi="宋体"/>
              </w:rPr>
            </w:pPr>
            <w:r>
              <w:rPr>
                <w:rFonts w:ascii="宋体" w:hAnsi="宋体"/>
                <w:lang w:bidi="ar"/>
              </w:rPr>
              <w:t>4.0</w:t>
            </w:r>
          </w:p>
        </w:tc>
        <w:tc>
          <w:tcPr>
            <w:tcW w:w="1644" w:type="dxa"/>
            <w:vMerge w:val="continue"/>
            <w:tcBorders>
              <w:top w:val="single" w:color="000000" w:sz="6" w:space="0"/>
              <w:left w:val="single" w:color="000000" w:sz="6" w:space="0"/>
              <w:bottom w:val="single" w:color="000000" w:sz="12" w:space="0"/>
              <w:right w:val="single" w:color="000000" w:sz="6" w:space="0"/>
            </w:tcBorders>
            <w:noWrap w:val="0"/>
            <w:vAlign w:val="center"/>
          </w:tcPr>
          <w:p w14:paraId="03978BD9">
            <w:pPr>
              <w:rPr>
                <w:sz w:val="20"/>
                <w:szCs w:val="20"/>
              </w:rPr>
            </w:pPr>
          </w:p>
        </w:tc>
        <w:tc>
          <w:tcPr>
            <w:tcW w:w="1735" w:type="dxa"/>
            <w:vMerge w:val="continue"/>
            <w:tcBorders>
              <w:top w:val="single" w:color="000000" w:sz="6" w:space="0"/>
              <w:left w:val="single" w:color="000000" w:sz="6" w:space="0"/>
              <w:bottom w:val="single" w:color="000000" w:sz="12" w:space="0"/>
              <w:right w:val="single" w:color="000000" w:sz="12" w:space="0"/>
            </w:tcBorders>
            <w:noWrap w:val="0"/>
            <w:vAlign w:val="center"/>
          </w:tcPr>
          <w:p w14:paraId="3BD3EF6B">
            <w:pPr>
              <w:rPr>
                <w:sz w:val="20"/>
                <w:szCs w:val="20"/>
              </w:rPr>
            </w:pPr>
          </w:p>
        </w:tc>
      </w:tr>
      <w:tr w14:paraId="44E2C8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2644" w:type="dxa"/>
            <w:tcBorders>
              <w:top w:val="single" w:color="000000" w:sz="6" w:space="0"/>
              <w:left w:val="single" w:color="000000" w:sz="12" w:space="0"/>
              <w:bottom w:val="single" w:color="000000" w:sz="12" w:space="0"/>
              <w:right w:val="single" w:color="000000" w:sz="6" w:space="0"/>
            </w:tcBorders>
            <w:noWrap w:val="0"/>
            <w:vAlign w:val="center"/>
          </w:tcPr>
          <w:p w14:paraId="0697503B">
            <w:pPr>
              <w:widowControl/>
              <w:jc w:val="center"/>
              <w:rPr>
                <w:rFonts w:eastAsia="黑体"/>
              </w:rPr>
            </w:pPr>
            <w:r>
              <w:rPr>
                <w:rFonts w:eastAsia="黑体"/>
                <w:lang w:bidi="ar"/>
              </w:rPr>
              <w:t>长途汽车站</w:t>
            </w:r>
          </w:p>
        </w:tc>
        <w:tc>
          <w:tcPr>
            <w:tcW w:w="1561" w:type="dxa"/>
            <w:tcBorders>
              <w:top w:val="single" w:color="000000" w:sz="6" w:space="0"/>
              <w:left w:val="single" w:color="000000" w:sz="6" w:space="0"/>
              <w:bottom w:val="single" w:color="000000" w:sz="12" w:space="0"/>
              <w:right w:val="single" w:color="000000" w:sz="6" w:space="0"/>
            </w:tcBorders>
            <w:noWrap w:val="0"/>
            <w:vAlign w:val="center"/>
          </w:tcPr>
          <w:p w14:paraId="674E4715">
            <w:pPr>
              <w:widowControl/>
              <w:jc w:val="center"/>
              <w:rPr>
                <w:rFonts w:ascii="宋体" w:hAnsi="宋体"/>
              </w:rPr>
            </w:pPr>
            <w:r>
              <w:rPr>
                <w:rFonts w:ascii="宋体" w:hAnsi="宋体"/>
                <w:lang w:bidi="ar"/>
              </w:rPr>
              <w:t>4.0</w:t>
            </w:r>
          </w:p>
        </w:tc>
        <w:tc>
          <w:tcPr>
            <w:tcW w:w="1474" w:type="dxa"/>
            <w:tcBorders>
              <w:top w:val="single" w:color="000000" w:sz="6" w:space="0"/>
              <w:left w:val="single" w:color="000000" w:sz="6" w:space="0"/>
              <w:bottom w:val="single" w:color="000000" w:sz="12" w:space="0"/>
              <w:right w:val="single" w:color="000000" w:sz="6" w:space="0"/>
            </w:tcBorders>
            <w:noWrap w:val="0"/>
            <w:vAlign w:val="center"/>
          </w:tcPr>
          <w:p w14:paraId="31D9940E">
            <w:pPr>
              <w:widowControl/>
              <w:jc w:val="center"/>
              <w:rPr>
                <w:rFonts w:ascii="宋体" w:hAnsi="宋体"/>
              </w:rPr>
            </w:pPr>
            <w:r>
              <w:rPr>
                <w:rFonts w:ascii="宋体" w:hAnsi="宋体"/>
                <w:lang w:bidi="ar"/>
              </w:rPr>
              <w:t>3.0</w:t>
            </w:r>
          </w:p>
        </w:tc>
        <w:tc>
          <w:tcPr>
            <w:tcW w:w="1644" w:type="dxa"/>
            <w:vMerge w:val="continue"/>
            <w:tcBorders>
              <w:top w:val="single" w:color="000000" w:sz="6" w:space="0"/>
              <w:left w:val="single" w:color="000000" w:sz="6" w:space="0"/>
              <w:bottom w:val="single" w:color="000000" w:sz="12" w:space="0"/>
              <w:right w:val="single" w:color="000000" w:sz="6" w:space="0"/>
            </w:tcBorders>
            <w:noWrap w:val="0"/>
            <w:vAlign w:val="center"/>
          </w:tcPr>
          <w:p w14:paraId="500895AB">
            <w:pPr>
              <w:rPr>
                <w:sz w:val="20"/>
                <w:szCs w:val="20"/>
              </w:rPr>
            </w:pPr>
          </w:p>
        </w:tc>
        <w:tc>
          <w:tcPr>
            <w:tcW w:w="1735" w:type="dxa"/>
            <w:vMerge w:val="continue"/>
            <w:tcBorders>
              <w:top w:val="single" w:color="000000" w:sz="6" w:space="0"/>
              <w:left w:val="single" w:color="000000" w:sz="6" w:space="0"/>
              <w:bottom w:val="single" w:color="000000" w:sz="12" w:space="0"/>
              <w:right w:val="single" w:color="000000" w:sz="12" w:space="0"/>
            </w:tcBorders>
            <w:noWrap w:val="0"/>
            <w:vAlign w:val="center"/>
          </w:tcPr>
          <w:p w14:paraId="5F323942">
            <w:pPr>
              <w:rPr>
                <w:sz w:val="20"/>
                <w:szCs w:val="20"/>
              </w:rPr>
            </w:pPr>
          </w:p>
        </w:tc>
      </w:tr>
    </w:tbl>
    <w:p w14:paraId="1CEBEA67">
      <w:pPr>
        <w:snapToGrid w:val="0"/>
        <w:spacing w:before="120" w:beforeLines="50"/>
        <w:ind w:firstLine="422" w:firstLineChars="200"/>
        <w:rPr>
          <w:rFonts w:ascii="宋体" w:hAnsi="宋体"/>
          <w:bCs/>
          <w:szCs w:val="21"/>
          <w:lang w:bidi="ar"/>
        </w:rPr>
      </w:pPr>
      <w:r>
        <w:rPr>
          <w:rFonts w:ascii="宋体" w:hAnsi="宋体"/>
          <w:b/>
          <w:bCs/>
          <w:szCs w:val="21"/>
          <w:lang w:bidi="ar"/>
        </w:rPr>
        <w:t>注：</w:t>
      </w:r>
      <w:r>
        <w:rPr>
          <w:rFonts w:ascii="宋体" w:hAnsi="宋体"/>
          <w:bCs/>
          <w:szCs w:val="21"/>
          <w:lang w:bidi="ar"/>
        </w:rPr>
        <w:t>1.城市快速路主线不考虑人行道和非机动车道的设置。</w:t>
      </w:r>
    </w:p>
    <w:p w14:paraId="0C4D1C88">
      <w:pPr>
        <w:snapToGrid w:val="0"/>
        <w:spacing w:before="120" w:beforeLines="50"/>
        <w:ind w:firstLine="840" w:firstLineChars="400"/>
        <w:rPr>
          <w:rFonts w:ascii="宋体" w:hAnsi="宋体"/>
          <w:bCs/>
          <w:szCs w:val="21"/>
          <w:lang w:bidi="ar"/>
        </w:rPr>
      </w:pPr>
      <w:r>
        <w:rPr>
          <w:rFonts w:ascii="宋体" w:hAnsi="宋体"/>
          <w:bCs/>
          <w:szCs w:val="21"/>
          <w:lang w:bidi="ar"/>
        </w:rPr>
        <w:t>2.最小宽度不包括人行 道树穴、路灯等宽度。</w:t>
      </w:r>
    </w:p>
    <w:p w14:paraId="21856D6F">
      <w:pPr>
        <w:snapToGrid w:val="0"/>
        <w:spacing w:before="120" w:beforeLines="50"/>
        <w:ind w:firstLine="422" w:firstLineChars="200"/>
        <w:rPr>
          <w:rFonts w:eastAsia="仿宋_GB2312"/>
          <w:b/>
          <w:lang w:bidi="ar"/>
        </w:rPr>
        <w:sectPr>
          <w:pgSz w:w="11915" w:h="16840"/>
          <w:pgMar w:top="1701" w:right="1531" w:bottom="1758" w:left="1644" w:header="851" w:footer="1361" w:gutter="0"/>
          <w:pgNumType w:fmt="numberInDash"/>
          <w:cols w:space="720" w:num="1"/>
          <w:docGrid w:linePitch="326" w:charSpace="0"/>
        </w:sectPr>
      </w:pPr>
    </w:p>
    <w:p w14:paraId="4BE75A30">
      <w:pPr>
        <w:rPr>
          <w:rFonts w:eastAsia="黑体"/>
          <w:sz w:val="28"/>
          <w:szCs w:val="28"/>
          <w:lang w:bidi="ar"/>
        </w:rPr>
      </w:pPr>
      <w:r>
        <w:rPr>
          <w:rFonts w:eastAsia="黑体"/>
          <w:sz w:val="28"/>
          <w:szCs w:val="28"/>
          <w:lang w:bidi="ar"/>
        </w:rPr>
        <w:t>附表7—4</w:t>
      </w:r>
    </w:p>
    <w:p w14:paraId="7FD0FEEF">
      <w:pPr>
        <w:spacing w:before="48" w:beforeLines="20" w:after="192" w:afterLines="80" w:line="600" w:lineRule="exact"/>
        <w:jc w:val="center"/>
        <w:rPr>
          <w:rFonts w:eastAsia="黑体"/>
          <w:sz w:val="28"/>
          <w:szCs w:val="28"/>
          <w:lang w:bidi="ar"/>
        </w:rPr>
      </w:pPr>
      <w:r>
        <w:rPr>
          <w:rFonts w:eastAsia="黑体"/>
          <w:sz w:val="28"/>
          <w:szCs w:val="28"/>
          <w:lang w:bidi="ar"/>
        </w:rPr>
        <w:t>各类建筑物配建停车场车位指标</w:t>
      </w:r>
    </w:p>
    <w:tbl>
      <w:tblPr>
        <w:tblStyle w:val="7"/>
        <w:tblW w:w="0" w:type="auto"/>
        <w:jc w:val="center"/>
        <w:tblLayout w:type="fixed"/>
        <w:tblCellMar>
          <w:top w:w="0" w:type="dxa"/>
          <w:left w:w="0" w:type="dxa"/>
          <w:bottom w:w="0" w:type="dxa"/>
          <w:right w:w="0" w:type="dxa"/>
        </w:tblCellMar>
      </w:tblPr>
      <w:tblGrid>
        <w:gridCol w:w="439"/>
        <w:gridCol w:w="749"/>
        <w:gridCol w:w="1834"/>
        <w:gridCol w:w="1354"/>
        <w:gridCol w:w="942"/>
        <w:gridCol w:w="1057"/>
        <w:gridCol w:w="2332"/>
      </w:tblGrid>
      <w:tr w14:paraId="3F5AEFEA">
        <w:tblPrEx>
          <w:tblCellMar>
            <w:top w:w="0" w:type="dxa"/>
            <w:left w:w="0" w:type="dxa"/>
            <w:bottom w:w="0" w:type="dxa"/>
            <w:right w:w="0" w:type="dxa"/>
          </w:tblCellMar>
        </w:tblPrEx>
        <w:trPr>
          <w:trHeight w:val="837" w:hRule="atLeast"/>
          <w:tblHeader/>
          <w:jc w:val="center"/>
        </w:trPr>
        <w:tc>
          <w:tcPr>
            <w:tcW w:w="439"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C1E1523">
            <w:pPr>
              <w:widowControl/>
              <w:jc w:val="center"/>
              <w:rPr>
                <w:rFonts w:eastAsia="黑体"/>
                <w:sz w:val="18"/>
                <w:szCs w:val="18"/>
              </w:rPr>
            </w:pPr>
            <w:r>
              <w:rPr>
                <w:rFonts w:eastAsia="黑体"/>
                <w:sz w:val="18"/>
                <w:szCs w:val="18"/>
                <w:lang w:bidi="ar"/>
              </w:rPr>
              <w:t>序号</w:t>
            </w:r>
          </w:p>
        </w:tc>
        <w:tc>
          <w:tcPr>
            <w:tcW w:w="2583" w:type="dxa"/>
            <w:gridSpan w:val="2"/>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458F4BC">
            <w:pPr>
              <w:widowControl/>
              <w:jc w:val="center"/>
              <w:rPr>
                <w:rFonts w:eastAsia="黑体"/>
                <w:sz w:val="18"/>
                <w:szCs w:val="18"/>
              </w:rPr>
            </w:pPr>
            <w:r>
              <w:rPr>
                <w:rFonts w:eastAsia="黑体"/>
                <w:sz w:val="18"/>
                <w:szCs w:val="18"/>
                <w:lang w:bidi="ar"/>
              </w:rPr>
              <w:t>建筑类别</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15A8E5B">
            <w:pPr>
              <w:widowControl/>
              <w:jc w:val="center"/>
              <w:rPr>
                <w:rFonts w:eastAsia="黑体"/>
                <w:sz w:val="18"/>
                <w:szCs w:val="18"/>
              </w:rPr>
            </w:pPr>
            <w:r>
              <w:rPr>
                <w:rFonts w:eastAsia="黑体"/>
                <w:sz w:val="18"/>
                <w:szCs w:val="18"/>
                <w:lang w:bidi="ar"/>
              </w:rPr>
              <w:t>计量单位</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15B5E3A">
            <w:pPr>
              <w:widowControl/>
              <w:jc w:val="center"/>
              <w:rPr>
                <w:rFonts w:eastAsia="黑体"/>
                <w:sz w:val="18"/>
                <w:szCs w:val="18"/>
              </w:rPr>
            </w:pPr>
            <w:r>
              <w:rPr>
                <w:rFonts w:eastAsia="黑体"/>
                <w:sz w:val="18"/>
                <w:szCs w:val="18"/>
                <w:lang w:bidi="ar"/>
              </w:rPr>
              <w:t>机动车</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4B2A79E">
            <w:pPr>
              <w:widowControl/>
              <w:jc w:val="center"/>
              <w:rPr>
                <w:rFonts w:eastAsia="黑体"/>
                <w:sz w:val="18"/>
                <w:szCs w:val="18"/>
              </w:rPr>
            </w:pPr>
            <w:r>
              <w:rPr>
                <w:rFonts w:eastAsia="黑体"/>
                <w:sz w:val="18"/>
                <w:szCs w:val="18"/>
                <w:lang w:bidi="ar"/>
              </w:rPr>
              <w:t>非机动车</w:t>
            </w:r>
          </w:p>
          <w:p w14:paraId="0FB71FD0">
            <w:pPr>
              <w:widowControl/>
              <w:jc w:val="center"/>
              <w:rPr>
                <w:rFonts w:eastAsia="黑体"/>
                <w:sz w:val="18"/>
                <w:szCs w:val="18"/>
              </w:rPr>
            </w:pPr>
            <w:r>
              <w:rPr>
                <w:rFonts w:eastAsia="黑体"/>
                <w:sz w:val="18"/>
                <w:szCs w:val="18"/>
                <w:lang w:bidi="ar"/>
              </w:rPr>
              <w:t>参考值</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D8E4C09">
            <w:pPr>
              <w:widowControl/>
              <w:jc w:val="center"/>
              <w:rPr>
                <w:rFonts w:eastAsia="黑体"/>
                <w:sz w:val="18"/>
                <w:szCs w:val="18"/>
              </w:rPr>
            </w:pPr>
            <w:r>
              <w:rPr>
                <w:rFonts w:eastAsia="黑体"/>
                <w:sz w:val="18"/>
                <w:szCs w:val="18"/>
                <w:lang w:bidi="ar"/>
              </w:rPr>
              <w:t>备  注</w:t>
            </w:r>
          </w:p>
        </w:tc>
      </w:tr>
      <w:tr w14:paraId="378593BB">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right w:val="single" w:color="080808" w:sz="8" w:space="0"/>
            </w:tcBorders>
            <w:noWrap w:val="0"/>
            <w:tcMar>
              <w:top w:w="15" w:type="dxa"/>
              <w:left w:w="80" w:type="dxa"/>
              <w:right w:w="80" w:type="dxa"/>
            </w:tcMar>
            <w:vAlign w:val="center"/>
          </w:tcPr>
          <w:p w14:paraId="7E38C803">
            <w:pPr>
              <w:widowControl/>
              <w:jc w:val="center"/>
              <w:rPr>
                <w:rFonts w:ascii="宋体" w:hAnsi="宋体"/>
                <w:sz w:val="18"/>
                <w:szCs w:val="18"/>
              </w:rPr>
            </w:pPr>
            <w:r>
              <w:rPr>
                <w:rFonts w:ascii="宋体" w:hAnsi="宋体"/>
                <w:sz w:val="18"/>
                <w:szCs w:val="18"/>
                <w:lang w:bidi="ar"/>
              </w:rPr>
              <w:t xml:space="preserve">1 </w:t>
            </w:r>
          </w:p>
        </w:tc>
        <w:tc>
          <w:tcPr>
            <w:tcW w:w="749" w:type="dxa"/>
            <w:vMerge w:val="restart"/>
            <w:tcBorders>
              <w:top w:val="single" w:color="080808" w:sz="8" w:space="0"/>
              <w:left w:val="single" w:color="080808" w:sz="8" w:space="0"/>
              <w:right w:val="single" w:color="080808" w:sz="8" w:space="0"/>
            </w:tcBorders>
            <w:noWrap w:val="0"/>
            <w:tcMar>
              <w:top w:w="15" w:type="dxa"/>
              <w:left w:w="80" w:type="dxa"/>
              <w:right w:w="80" w:type="dxa"/>
            </w:tcMar>
            <w:vAlign w:val="center"/>
          </w:tcPr>
          <w:p w14:paraId="67BB4FA1">
            <w:pPr>
              <w:widowControl/>
              <w:jc w:val="center"/>
              <w:rPr>
                <w:rFonts w:ascii="宋体" w:hAnsi="宋体"/>
                <w:sz w:val="18"/>
                <w:szCs w:val="18"/>
              </w:rPr>
            </w:pPr>
            <w:r>
              <w:rPr>
                <w:rFonts w:ascii="宋体" w:hAnsi="宋体"/>
                <w:sz w:val="18"/>
                <w:szCs w:val="18"/>
                <w:lang w:bidi="ar"/>
              </w:rPr>
              <w:t>住宅</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6D46C52">
            <w:pPr>
              <w:widowControl/>
              <w:jc w:val="center"/>
              <w:rPr>
                <w:rFonts w:ascii="宋体" w:hAnsi="宋体"/>
                <w:sz w:val="18"/>
                <w:szCs w:val="18"/>
              </w:rPr>
            </w:pPr>
            <w:r>
              <w:rPr>
                <w:rFonts w:ascii="宋体" w:hAnsi="宋体"/>
                <w:sz w:val="18"/>
                <w:szCs w:val="18"/>
                <w:lang w:bidi="ar"/>
              </w:rPr>
              <w:t>低层联排住宅</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8DCEDD0">
            <w:pPr>
              <w:widowControl/>
              <w:jc w:val="center"/>
              <w:rPr>
                <w:rFonts w:ascii="宋体" w:hAnsi="宋体"/>
                <w:sz w:val="18"/>
                <w:szCs w:val="18"/>
              </w:rPr>
            </w:pPr>
            <w:r>
              <w:rPr>
                <w:rFonts w:ascii="宋体" w:hAnsi="宋体"/>
                <w:sz w:val="18"/>
                <w:szCs w:val="18"/>
                <w:lang w:bidi="ar"/>
              </w:rPr>
              <w:t>停车位/户</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394F6CF">
            <w:pPr>
              <w:widowControl/>
              <w:jc w:val="center"/>
              <w:textAlignment w:val="center"/>
              <w:rPr>
                <w:rFonts w:ascii="宋体" w:hAnsi="宋体"/>
                <w:sz w:val="18"/>
                <w:szCs w:val="18"/>
              </w:rPr>
            </w:pPr>
            <w:r>
              <w:rPr>
                <w:rFonts w:ascii="宋体" w:hAnsi="宋体"/>
                <w:sz w:val="18"/>
                <w:szCs w:val="18"/>
                <w:lang w:bidi="ar"/>
              </w:rPr>
              <w:t>2</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D98ADE6">
            <w:pPr>
              <w:widowControl/>
              <w:jc w:val="center"/>
              <w:textAlignment w:val="center"/>
              <w:rPr>
                <w:rFonts w:ascii="宋体" w:hAnsi="宋体"/>
                <w:sz w:val="18"/>
                <w:szCs w:val="18"/>
              </w:rPr>
            </w:pPr>
            <w:r>
              <w:rPr>
                <w:rFonts w:ascii="宋体" w:hAnsi="宋体"/>
                <w:sz w:val="18"/>
                <w:szCs w:val="18"/>
                <w:lang w:bidi="ar"/>
              </w:rPr>
              <w:t xml:space="preserve">/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3F514FF">
            <w:pPr>
              <w:widowControl/>
              <w:jc w:val="center"/>
              <w:rPr>
                <w:rFonts w:ascii="宋体" w:hAnsi="宋体"/>
                <w:sz w:val="18"/>
                <w:szCs w:val="18"/>
              </w:rPr>
            </w:pPr>
            <w:r>
              <w:rPr>
                <w:rFonts w:ascii="宋体" w:hAnsi="宋体"/>
                <w:sz w:val="18"/>
                <w:szCs w:val="18"/>
                <w:lang w:bidi="ar"/>
              </w:rPr>
              <w:t xml:space="preserve">  </w:t>
            </w:r>
          </w:p>
        </w:tc>
      </w:tr>
      <w:tr w14:paraId="72478762">
        <w:tblPrEx>
          <w:tblCellMar>
            <w:top w:w="0" w:type="dxa"/>
            <w:left w:w="0" w:type="dxa"/>
            <w:bottom w:w="0" w:type="dxa"/>
            <w:right w:w="0" w:type="dxa"/>
          </w:tblCellMar>
        </w:tblPrEx>
        <w:trPr>
          <w:trHeight w:val="340" w:hRule="atLeast"/>
          <w:jc w:val="center"/>
        </w:trPr>
        <w:tc>
          <w:tcPr>
            <w:tcW w:w="439" w:type="dxa"/>
            <w:vMerge w:val="continue"/>
            <w:tcBorders>
              <w:left w:val="single" w:color="080808" w:sz="8" w:space="0"/>
              <w:right w:val="single" w:color="080808" w:sz="8" w:space="0"/>
            </w:tcBorders>
            <w:noWrap w:val="0"/>
            <w:tcMar>
              <w:top w:w="15" w:type="dxa"/>
              <w:left w:w="80" w:type="dxa"/>
              <w:right w:w="80" w:type="dxa"/>
            </w:tcMar>
            <w:vAlign w:val="center"/>
          </w:tcPr>
          <w:p w14:paraId="0421DB21">
            <w:pPr>
              <w:rPr>
                <w:rFonts w:ascii="宋体" w:hAnsi="宋体"/>
                <w:sz w:val="20"/>
                <w:szCs w:val="20"/>
              </w:rPr>
            </w:pPr>
          </w:p>
        </w:tc>
        <w:tc>
          <w:tcPr>
            <w:tcW w:w="749" w:type="dxa"/>
            <w:vMerge w:val="continue"/>
            <w:tcBorders>
              <w:left w:val="single" w:color="080808" w:sz="8" w:space="0"/>
              <w:right w:val="single" w:color="080808" w:sz="8" w:space="0"/>
            </w:tcBorders>
            <w:noWrap w:val="0"/>
            <w:tcMar>
              <w:top w:w="15" w:type="dxa"/>
              <w:left w:w="80" w:type="dxa"/>
              <w:right w:w="80" w:type="dxa"/>
            </w:tcMar>
            <w:vAlign w:val="center"/>
          </w:tcPr>
          <w:p w14:paraId="0C35074A">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2313437">
            <w:pPr>
              <w:widowControl/>
              <w:jc w:val="center"/>
              <w:textAlignment w:val="center"/>
              <w:rPr>
                <w:rFonts w:ascii="宋体" w:hAnsi="宋体"/>
                <w:sz w:val="18"/>
                <w:szCs w:val="18"/>
              </w:rPr>
            </w:pPr>
            <w:r>
              <w:rPr>
                <w:rFonts w:ascii="宋体" w:hAnsi="宋体"/>
                <w:sz w:val="18"/>
                <w:szCs w:val="18"/>
                <w:lang w:bidi="ar"/>
              </w:rPr>
              <w:t>普通商品住宅</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E33267B">
            <w:pPr>
              <w:widowControl/>
              <w:jc w:val="center"/>
              <w:rPr>
                <w:rFonts w:ascii="宋体" w:hAnsi="宋体"/>
                <w:sz w:val="18"/>
                <w:szCs w:val="18"/>
              </w:rPr>
            </w:pPr>
            <w:r>
              <w:rPr>
                <w:rFonts w:ascii="宋体" w:hAnsi="宋体"/>
                <w:sz w:val="18"/>
                <w:szCs w:val="18"/>
                <w:lang w:bidi="ar"/>
              </w:rPr>
              <w:t>停车位/户</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FABC0CE">
            <w:pPr>
              <w:widowControl/>
              <w:jc w:val="center"/>
              <w:textAlignment w:val="center"/>
              <w:rPr>
                <w:rFonts w:ascii="宋体" w:hAnsi="宋体"/>
                <w:sz w:val="18"/>
                <w:szCs w:val="18"/>
              </w:rPr>
            </w:pPr>
            <w:r>
              <w:rPr>
                <w:rFonts w:ascii="宋体" w:hAnsi="宋体"/>
                <w:sz w:val="18"/>
                <w:szCs w:val="18"/>
                <w:lang w:bidi="ar"/>
              </w:rPr>
              <w:t>1</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60C8FA9">
            <w:pPr>
              <w:widowControl/>
              <w:jc w:val="center"/>
              <w:textAlignment w:val="center"/>
              <w:rPr>
                <w:rFonts w:ascii="宋体" w:hAnsi="宋体"/>
                <w:sz w:val="18"/>
                <w:szCs w:val="18"/>
              </w:rPr>
            </w:pPr>
            <w:r>
              <w:rPr>
                <w:rFonts w:ascii="宋体" w:hAnsi="宋体"/>
                <w:sz w:val="18"/>
                <w:szCs w:val="18"/>
                <w:lang w:bidi="ar"/>
              </w:rPr>
              <w:t>0.5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506FCE1">
            <w:pPr>
              <w:widowControl/>
              <w:jc w:val="center"/>
              <w:rPr>
                <w:rFonts w:ascii="宋体" w:hAnsi="宋体"/>
                <w:sz w:val="18"/>
                <w:szCs w:val="18"/>
              </w:rPr>
            </w:pPr>
          </w:p>
        </w:tc>
      </w:tr>
      <w:tr w14:paraId="7D72A816">
        <w:tblPrEx>
          <w:tblCellMar>
            <w:top w:w="0" w:type="dxa"/>
            <w:left w:w="0" w:type="dxa"/>
            <w:bottom w:w="0" w:type="dxa"/>
            <w:right w:w="0" w:type="dxa"/>
          </w:tblCellMar>
        </w:tblPrEx>
        <w:trPr>
          <w:trHeight w:val="340" w:hRule="atLeast"/>
          <w:jc w:val="center"/>
        </w:trPr>
        <w:tc>
          <w:tcPr>
            <w:tcW w:w="439" w:type="dxa"/>
            <w:vMerge w:val="continue"/>
            <w:tcBorders>
              <w:left w:val="single" w:color="080808" w:sz="8" w:space="0"/>
              <w:right w:val="single" w:color="080808" w:sz="8" w:space="0"/>
            </w:tcBorders>
            <w:noWrap w:val="0"/>
            <w:tcMar>
              <w:top w:w="15" w:type="dxa"/>
              <w:left w:w="80" w:type="dxa"/>
              <w:right w:w="80" w:type="dxa"/>
            </w:tcMar>
            <w:vAlign w:val="center"/>
          </w:tcPr>
          <w:p w14:paraId="45EC7C2A">
            <w:pPr>
              <w:rPr>
                <w:rFonts w:ascii="宋体" w:hAnsi="宋体"/>
                <w:sz w:val="20"/>
                <w:szCs w:val="20"/>
              </w:rPr>
            </w:pPr>
          </w:p>
        </w:tc>
        <w:tc>
          <w:tcPr>
            <w:tcW w:w="749" w:type="dxa"/>
            <w:vMerge w:val="continue"/>
            <w:tcBorders>
              <w:left w:val="single" w:color="080808" w:sz="8" w:space="0"/>
              <w:right w:val="single" w:color="080808" w:sz="8" w:space="0"/>
            </w:tcBorders>
            <w:noWrap w:val="0"/>
            <w:tcMar>
              <w:top w:w="15" w:type="dxa"/>
              <w:left w:w="80" w:type="dxa"/>
              <w:right w:w="80" w:type="dxa"/>
            </w:tcMar>
            <w:vAlign w:val="center"/>
          </w:tcPr>
          <w:p w14:paraId="07B1EDB0">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EC63750">
            <w:pPr>
              <w:widowControl/>
              <w:jc w:val="center"/>
              <w:textAlignment w:val="center"/>
              <w:rPr>
                <w:rFonts w:ascii="宋体" w:hAnsi="宋体"/>
                <w:sz w:val="18"/>
                <w:szCs w:val="18"/>
              </w:rPr>
            </w:pPr>
            <w:r>
              <w:rPr>
                <w:rFonts w:ascii="宋体" w:hAnsi="宋体"/>
                <w:sz w:val="18"/>
                <w:szCs w:val="18"/>
                <w:lang w:bidi="ar"/>
              </w:rPr>
              <w:t>保障性住房</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76CF476">
            <w:pPr>
              <w:widowControl/>
              <w:jc w:val="center"/>
              <w:rPr>
                <w:rFonts w:ascii="宋体" w:hAnsi="宋体"/>
                <w:sz w:val="18"/>
                <w:szCs w:val="18"/>
              </w:rPr>
            </w:pPr>
            <w:r>
              <w:rPr>
                <w:rFonts w:ascii="宋体" w:hAnsi="宋体"/>
                <w:sz w:val="18"/>
                <w:szCs w:val="18"/>
                <w:lang w:bidi="ar"/>
              </w:rPr>
              <w:t>停车位/户</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5536030">
            <w:pPr>
              <w:widowControl/>
              <w:jc w:val="center"/>
              <w:textAlignment w:val="center"/>
              <w:rPr>
                <w:rFonts w:ascii="宋体" w:hAnsi="宋体"/>
                <w:sz w:val="18"/>
                <w:szCs w:val="18"/>
              </w:rPr>
            </w:pPr>
            <w:r>
              <w:rPr>
                <w:rFonts w:ascii="宋体" w:hAnsi="宋体"/>
                <w:sz w:val="18"/>
                <w:szCs w:val="18"/>
                <w:lang w:bidi="ar"/>
              </w:rPr>
              <w:t>0.35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4EEACE7">
            <w:pPr>
              <w:widowControl/>
              <w:jc w:val="center"/>
              <w:textAlignment w:val="center"/>
              <w:rPr>
                <w:rFonts w:ascii="宋体" w:hAnsi="宋体"/>
                <w:sz w:val="18"/>
                <w:szCs w:val="18"/>
              </w:rPr>
            </w:pPr>
            <w:r>
              <w:rPr>
                <w:rFonts w:ascii="宋体" w:hAnsi="宋体"/>
                <w:sz w:val="18"/>
                <w:szCs w:val="18"/>
                <w:lang w:bidi="ar"/>
              </w:rPr>
              <w:t xml:space="preserve">0.8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1FC1AA6">
            <w:pPr>
              <w:widowControl/>
              <w:jc w:val="center"/>
              <w:textAlignment w:val="center"/>
              <w:rPr>
                <w:rFonts w:ascii="宋体" w:hAnsi="宋体"/>
                <w:sz w:val="18"/>
                <w:szCs w:val="18"/>
              </w:rPr>
            </w:pPr>
            <w:r>
              <w:rPr>
                <w:rFonts w:ascii="宋体" w:hAnsi="宋体"/>
                <w:sz w:val="18"/>
                <w:szCs w:val="18"/>
                <w:lang w:bidi="ar"/>
              </w:rPr>
              <w:t xml:space="preserve">  </w:t>
            </w:r>
          </w:p>
        </w:tc>
      </w:tr>
      <w:tr w14:paraId="0A1086DF">
        <w:tblPrEx>
          <w:tblCellMar>
            <w:top w:w="0" w:type="dxa"/>
            <w:left w:w="0" w:type="dxa"/>
            <w:bottom w:w="0" w:type="dxa"/>
            <w:right w:w="0" w:type="dxa"/>
          </w:tblCellMar>
        </w:tblPrEx>
        <w:trPr>
          <w:trHeight w:val="340" w:hRule="atLeast"/>
          <w:jc w:val="center"/>
        </w:trPr>
        <w:tc>
          <w:tcPr>
            <w:tcW w:w="439" w:type="dxa"/>
            <w:vMerge w:val="continue"/>
            <w:tcBorders>
              <w:left w:val="single" w:color="080808" w:sz="8" w:space="0"/>
              <w:bottom w:val="single" w:color="080808" w:sz="8" w:space="0"/>
              <w:right w:val="single" w:color="080808" w:sz="8" w:space="0"/>
            </w:tcBorders>
            <w:noWrap w:val="0"/>
            <w:tcMar>
              <w:top w:w="15" w:type="dxa"/>
              <w:left w:w="80" w:type="dxa"/>
              <w:right w:w="80" w:type="dxa"/>
            </w:tcMar>
            <w:vAlign w:val="center"/>
          </w:tcPr>
          <w:p w14:paraId="69B104D0">
            <w:pPr>
              <w:rPr>
                <w:rFonts w:ascii="宋体" w:hAnsi="宋体"/>
                <w:sz w:val="20"/>
                <w:szCs w:val="20"/>
              </w:rPr>
            </w:pPr>
          </w:p>
        </w:tc>
        <w:tc>
          <w:tcPr>
            <w:tcW w:w="749" w:type="dxa"/>
            <w:vMerge w:val="continue"/>
            <w:tcBorders>
              <w:left w:val="single" w:color="080808" w:sz="8" w:space="0"/>
              <w:bottom w:val="single" w:color="080808" w:sz="8" w:space="0"/>
              <w:right w:val="single" w:color="080808" w:sz="8" w:space="0"/>
            </w:tcBorders>
            <w:noWrap w:val="0"/>
            <w:tcMar>
              <w:top w:w="15" w:type="dxa"/>
              <w:left w:w="80" w:type="dxa"/>
              <w:right w:w="80" w:type="dxa"/>
            </w:tcMar>
            <w:vAlign w:val="center"/>
          </w:tcPr>
          <w:p w14:paraId="39939E6A">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FFC1E19">
            <w:pPr>
              <w:widowControl/>
              <w:jc w:val="center"/>
              <w:textAlignment w:val="center"/>
              <w:rPr>
                <w:rFonts w:ascii="宋体" w:hAnsi="宋体"/>
                <w:sz w:val="18"/>
                <w:szCs w:val="18"/>
                <w:lang w:bidi="ar"/>
              </w:rPr>
            </w:pPr>
            <w:r>
              <w:rPr>
                <w:rFonts w:ascii="宋体" w:hAnsi="宋体"/>
                <w:sz w:val="18"/>
                <w:szCs w:val="18"/>
                <w:lang w:bidi="ar"/>
              </w:rPr>
              <w:t>旧城改造、危房改造、城中村改造、棚户区改造、拆迁安置住房</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109E15E">
            <w:pPr>
              <w:widowControl/>
              <w:jc w:val="center"/>
              <w:rPr>
                <w:rFonts w:ascii="宋体" w:hAnsi="宋体"/>
                <w:sz w:val="18"/>
                <w:szCs w:val="18"/>
                <w:lang w:bidi="ar"/>
              </w:rPr>
            </w:pPr>
            <w:r>
              <w:rPr>
                <w:rFonts w:ascii="宋体" w:hAnsi="宋体"/>
                <w:sz w:val="18"/>
                <w:szCs w:val="18"/>
                <w:lang w:bidi="ar"/>
              </w:rPr>
              <w:t>停车位/户</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5C8160C">
            <w:pPr>
              <w:widowControl/>
              <w:jc w:val="center"/>
              <w:textAlignment w:val="center"/>
              <w:rPr>
                <w:rFonts w:ascii="宋体" w:hAnsi="宋体"/>
                <w:sz w:val="18"/>
                <w:szCs w:val="18"/>
                <w:lang w:bidi="ar"/>
              </w:rPr>
            </w:pPr>
            <w:r>
              <w:rPr>
                <w:rFonts w:ascii="宋体" w:hAnsi="宋体"/>
                <w:sz w:val="18"/>
                <w:szCs w:val="18"/>
                <w:lang w:bidi="ar"/>
              </w:rPr>
              <w:t>0.7</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14F621D">
            <w:pPr>
              <w:widowControl/>
              <w:jc w:val="center"/>
              <w:textAlignment w:val="center"/>
              <w:rPr>
                <w:rFonts w:ascii="宋体" w:hAnsi="宋体"/>
                <w:sz w:val="18"/>
                <w:szCs w:val="18"/>
                <w:lang w:bidi="ar"/>
              </w:rPr>
            </w:pPr>
            <w:r>
              <w:rPr>
                <w:rFonts w:ascii="宋体" w:hAnsi="宋体"/>
                <w:sz w:val="18"/>
                <w:szCs w:val="18"/>
                <w:lang w:bidi="ar"/>
              </w:rPr>
              <w:t>0.5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A631F95">
            <w:pPr>
              <w:widowControl/>
              <w:jc w:val="center"/>
              <w:textAlignment w:val="center"/>
              <w:rPr>
                <w:rFonts w:ascii="宋体" w:hAnsi="宋体"/>
                <w:sz w:val="18"/>
                <w:szCs w:val="18"/>
                <w:lang w:bidi="ar"/>
              </w:rPr>
            </w:pPr>
          </w:p>
        </w:tc>
      </w:tr>
      <w:tr w14:paraId="77911398">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8206E3A">
            <w:pPr>
              <w:widowControl/>
              <w:jc w:val="center"/>
              <w:rPr>
                <w:rFonts w:ascii="宋体" w:hAnsi="宋体"/>
                <w:sz w:val="18"/>
                <w:szCs w:val="18"/>
              </w:rPr>
            </w:pPr>
            <w:r>
              <w:rPr>
                <w:rFonts w:ascii="宋体" w:hAnsi="宋体"/>
                <w:sz w:val="18"/>
                <w:szCs w:val="18"/>
                <w:lang w:bidi="ar"/>
              </w:rPr>
              <w:t xml:space="preserve">2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18C6371">
            <w:pPr>
              <w:widowControl/>
              <w:jc w:val="center"/>
              <w:rPr>
                <w:rFonts w:ascii="宋体" w:hAnsi="宋体"/>
                <w:sz w:val="18"/>
                <w:szCs w:val="18"/>
              </w:rPr>
            </w:pPr>
            <w:r>
              <w:rPr>
                <w:rFonts w:ascii="宋体" w:hAnsi="宋体"/>
                <w:sz w:val="18"/>
                <w:szCs w:val="18"/>
                <w:lang w:bidi="ar"/>
              </w:rPr>
              <w:t>商业</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FDDEA96">
            <w:pPr>
              <w:widowControl/>
              <w:jc w:val="center"/>
              <w:rPr>
                <w:rFonts w:ascii="宋体" w:hAnsi="宋体"/>
                <w:sz w:val="18"/>
                <w:szCs w:val="18"/>
              </w:rPr>
            </w:pPr>
            <w:r>
              <w:rPr>
                <w:rFonts w:ascii="宋体" w:hAnsi="宋体"/>
                <w:sz w:val="18"/>
                <w:szCs w:val="18"/>
                <w:lang w:bidi="ar"/>
              </w:rPr>
              <w:t>一类</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0E4B673">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647FFAE">
            <w:pPr>
              <w:widowControl/>
              <w:jc w:val="center"/>
              <w:textAlignment w:val="center"/>
              <w:rPr>
                <w:rFonts w:hint="eastAsia" w:ascii="宋体" w:hAnsi="宋体" w:eastAsia="宋体"/>
                <w:color w:val="auto"/>
                <w:sz w:val="18"/>
                <w:szCs w:val="18"/>
                <w:lang w:eastAsia="zh-CN"/>
              </w:rPr>
            </w:pPr>
            <w:r>
              <w:rPr>
                <w:rFonts w:hint="eastAsia" w:ascii="宋体" w:hAnsi="宋体"/>
                <w:color w:val="auto"/>
                <w:sz w:val="18"/>
                <w:szCs w:val="18"/>
                <w:u w:val="none"/>
                <w:lang w:val="en-US" w:eastAsia="zh-CN" w:bidi="ar"/>
              </w:rPr>
              <w:t>1</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29D72FB">
            <w:pPr>
              <w:widowControl/>
              <w:jc w:val="center"/>
              <w:textAlignment w:val="center"/>
              <w:rPr>
                <w:rFonts w:ascii="宋体" w:hAnsi="宋体"/>
                <w:color w:val="auto"/>
                <w:sz w:val="18"/>
                <w:szCs w:val="18"/>
              </w:rPr>
            </w:pPr>
            <w:r>
              <w:rPr>
                <w:rFonts w:ascii="宋体" w:hAnsi="宋体"/>
                <w:color w:val="auto"/>
                <w:sz w:val="18"/>
                <w:szCs w:val="18"/>
                <w:lang w:bidi="ar"/>
              </w:rPr>
              <w:t>0.8</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FF772FE">
            <w:pPr>
              <w:widowControl/>
              <w:jc w:val="center"/>
              <w:rPr>
                <w:rFonts w:ascii="宋体" w:hAnsi="宋体"/>
                <w:color w:val="auto"/>
                <w:sz w:val="18"/>
                <w:szCs w:val="18"/>
              </w:rPr>
            </w:pPr>
            <w:r>
              <w:rPr>
                <w:rFonts w:ascii="宋体" w:hAnsi="宋体"/>
                <w:color w:val="auto"/>
                <w:sz w:val="18"/>
                <w:szCs w:val="18"/>
                <w:lang w:bidi="ar"/>
              </w:rPr>
              <w:t>指大型商场、购物中心、大型超市等</w:t>
            </w:r>
          </w:p>
        </w:tc>
      </w:tr>
      <w:tr w14:paraId="135E5F5B">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A05DEA2">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C495CE1">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D29AA42">
            <w:pPr>
              <w:widowControl/>
              <w:jc w:val="center"/>
              <w:rPr>
                <w:rFonts w:ascii="宋体" w:hAnsi="宋体"/>
                <w:sz w:val="18"/>
                <w:szCs w:val="18"/>
              </w:rPr>
            </w:pPr>
            <w:r>
              <w:rPr>
                <w:rFonts w:ascii="宋体" w:hAnsi="宋体"/>
                <w:sz w:val="18"/>
                <w:szCs w:val="18"/>
                <w:lang w:bidi="ar"/>
              </w:rPr>
              <w:t>二类</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5C430DF">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423BB1C">
            <w:pPr>
              <w:widowControl/>
              <w:jc w:val="center"/>
              <w:textAlignment w:val="center"/>
              <w:rPr>
                <w:rFonts w:ascii="宋体" w:hAnsi="宋体"/>
                <w:color w:val="auto"/>
                <w:sz w:val="18"/>
                <w:szCs w:val="18"/>
              </w:rPr>
            </w:pPr>
            <w:r>
              <w:rPr>
                <w:rFonts w:ascii="宋体" w:hAnsi="宋体"/>
                <w:color w:val="auto"/>
                <w:sz w:val="18"/>
                <w:szCs w:val="18"/>
                <w:lang w:bidi="ar"/>
              </w:rPr>
              <w:t>2</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F00DEA8">
            <w:pPr>
              <w:widowControl/>
              <w:jc w:val="center"/>
              <w:textAlignment w:val="center"/>
              <w:rPr>
                <w:rFonts w:ascii="宋体" w:hAnsi="宋体"/>
                <w:color w:val="auto"/>
                <w:sz w:val="18"/>
                <w:szCs w:val="18"/>
              </w:rPr>
            </w:pPr>
            <w:r>
              <w:rPr>
                <w:rFonts w:ascii="宋体" w:hAnsi="宋体"/>
                <w:color w:val="auto"/>
                <w:sz w:val="18"/>
                <w:szCs w:val="18"/>
                <w:lang w:bidi="ar"/>
              </w:rPr>
              <w:t xml:space="preserve">1.5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85F4E5A">
            <w:pPr>
              <w:widowControl/>
              <w:jc w:val="center"/>
              <w:rPr>
                <w:rFonts w:ascii="宋体" w:hAnsi="宋体"/>
                <w:color w:val="auto"/>
                <w:sz w:val="18"/>
                <w:szCs w:val="18"/>
              </w:rPr>
            </w:pPr>
            <w:r>
              <w:rPr>
                <w:rFonts w:ascii="宋体" w:hAnsi="宋体"/>
                <w:color w:val="auto"/>
                <w:sz w:val="18"/>
                <w:szCs w:val="18"/>
                <w:lang w:bidi="ar"/>
              </w:rPr>
              <w:t>指批发市场等</w:t>
            </w:r>
          </w:p>
        </w:tc>
      </w:tr>
      <w:tr w14:paraId="5009A637">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6FC98BD">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490F2DF">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DD5BFE2">
            <w:pPr>
              <w:widowControl/>
              <w:jc w:val="center"/>
              <w:rPr>
                <w:rFonts w:ascii="宋体" w:hAnsi="宋体"/>
                <w:sz w:val="18"/>
                <w:szCs w:val="18"/>
              </w:rPr>
            </w:pPr>
            <w:r>
              <w:rPr>
                <w:rFonts w:ascii="宋体" w:hAnsi="宋体"/>
                <w:sz w:val="18"/>
                <w:szCs w:val="18"/>
                <w:lang w:bidi="ar"/>
              </w:rPr>
              <w:t>三类</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D33B70A">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CC84103">
            <w:pPr>
              <w:widowControl/>
              <w:jc w:val="center"/>
              <w:textAlignment w:val="center"/>
              <w:rPr>
                <w:rFonts w:ascii="宋体" w:hAnsi="宋体"/>
                <w:color w:val="auto"/>
                <w:sz w:val="18"/>
                <w:szCs w:val="18"/>
              </w:rPr>
            </w:pPr>
            <w:r>
              <w:rPr>
                <w:rFonts w:ascii="宋体" w:hAnsi="宋体"/>
                <w:color w:val="auto"/>
                <w:sz w:val="18"/>
                <w:szCs w:val="18"/>
                <w:lang w:bidi="ar"/>
              </w:rPr>
              <w:t>0.5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AA5DCF8">
            <w:pPr>
              <w:widowControl/>
              <w:jc w:val="center"/>
              <w:textAlignment w:val="center"/>
              <w:rPr>
                <w:rFonts w:ascii="宋体" w:hAnsi="宋体"/>
                <w:color w:val="auto"/>
                <w:sz w:val="18"/>
                <w:szCs w:val="18"/>
              </w:rPr>
            </w:pPr>
            <w:r>
              <w:rPr>
                <w:rFonts w:ascii="宋体" w:hAnsi="宋体"/>
                <w:color w:val="auto"/>
                <w:sz w:val="18"/>
                <w:szCs w:val="18"/>
                <w:lang w:bidi="ar"/>
              </w:rPr>
              <w:t>1.5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45FA7F1">
            <w:pPr>
              <w:widowControl/>
              <w:jc w:val="center"/>
              <w:rPr>
                <w:rFonts w:hint="eastAsia" w:ascii="宋体" w:hAnsi="宋体" w:eastAsia="宋体"/>
                <w:color w:val="auto"/>
                <w:sz w:val="18"/>
                <w:szCs w:val="18"/>
                <w:lang w:eastAsia="zh-CN"/>
              </w:rPr>
            </w:pPr>
            <w:r>
              <w:rPr>
                <w:rFonts w:ascii="宋体" w:hAnsi="宋体"/>
                <w:color w:val="auto"/>
                <w:sz w:val="18"/>
                <w:szCs w:val="18"/>
                <w:lang w:bidi="ar"/>
              </w:rPr>
              <w:t>居住区级</w:t>
            </w:r>
            <w:r>
              <w:rPr>
                <w:rFonts w:ascii="宋体" w:hAnsi="宋体"/>
                <w:color w:val="auto"/>
                <w:sz w:val="18"/>
                <w:szCs w:val="18"/>
                <w:u w:val="none"/>
                <w:lang w:bidi="ar"/>
              </w:rPr>
              <w:t>的</w:t>
            </w:r>
            <w:r>
              <w:rPr>
                <w:rFonts w:hint="eastAsia" w:ascii="宋体" w:hAnsi="宋体"/>
                <w:color w:val="auto"/>
                <w:sz w:val="18"/>
                <w:szCs w:val="18"/>
                <w:u w:val="none"/>
                <w:lang w:eastAsia="zh-CN" w:bidi="ar"/>
              </w:rPr>
              <w:t>零售商业</w:t>
            </w:r>
          </w:p>
        </w:tc>
      </w:tr>
      <w:tr w14:paraId="74F9A41D">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A657DFB">
            <w:pPr>
              <w:widowControl/>
              <w:jc w:val="center"/>
              <w:rPr>
                <w:rFonts w:ascii="宋体" w:hAnsi="宋体"/>
                <w:sz w:val="18"/>
                <w:szCs w:val="18"/>
              </w:rPr>
            </w:pPr>
            <w:r>
              <w:rPr>
                <w:rFonts w:ascii="宋体" w:hAnsi="宋体"/>
                <w:sz w:val="18"/>
                <w:szCs w:val="18"/>
                <w:lang w:bidi="ar"/>
              </w:rPr>
              <w:t xml:space="preserve">3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FE883A5">
            <w:pPr>
              <w:widowControl/>
              <w:jc w:val="center"/>
              <w:rPr>
                <w:rFonts w:ascii="宋体" w:hAnsi="宋体"/>
                <w:sz w:val="18"/>
                <w:szCs w:val="18"/>
              </w:rPr>
            </w:pPr>
            <w:r>
              <w:rPr>
                <w:rFonts w:ascii="宋体" w:hAnsi="宋体"/>
                <w:sz w:val="18"/>
                <w:szCs w:val="18"/>
                <w:lang w:bidi="ar"/>
              </w:rPr>
              <w:t>办公</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FCB5C31">
            <w:pPr>
              <w:widowControl/>
              <w:jc w:val="center"/>
              <w:rPr>
                <w:rFonts w:ascii="宋体" w:hAnsi="宋体"/>
                <w:sz w:val="18"/>
                <w:szCs w:val="18"/>
              </w:rPr>
            </w:pPr>
            <w:r>
              <w:rPr>
                <w:rFonts w:ascii="宋体" w:hAnsi="宋体"/>
                <w:sz w:val="18"/>
                <w:szCs w:val="18"/>
                <w:lang w:bidi="ar"/>
              </w:rPr>
              <w:t>行政办公</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F1462D0">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6B29B64">
            <w:pPr>
              <w:widowControl/>
              <w:jc w:val="center"/>
              <w:textAlignment w:val="center"/>
              <w:rPr>
                <w:rFonts w:ascii="宋体" w:hAnsi="宋体"/>
                <w:color w:val="auto"/>
                <w:sz w:val="18"/>
                <w:szCs w:val="18"/>
              </w:rPr>
            </w:pPr>
            <w:r>
              <w:rPr>
                <w:rFonts w:ascii="宋体" w:hAnsi="宋体"/>
                <w:color w:val="auto"/>
                <w:sz w:val="18"/>
                <w:szCs w:val="18"/>
                <w:lang w:bidi="ar"/>
              </w:rPr>
              <w:t>1.0</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E9BD920">
            <w:pPr>
              <w:widowControl/>
              <w:jc w:val="center"/>
              <w:textAlignment w:val="center"/>
              <w:rPr>
                <w:rFonts w:ascii="宋体" w:hAnsi="宋体"/>
                <w:color w:val="auto"/>
                <w:sz w:val="18"/>
                <w:szCs w:val="18"/>
              </w:rPr>
            </w:pPr>
            <w:r>
              <w:rPr>
                <w:rFonts w:ascii="宋体" w:hAnsi="宋体"/>
                <w:color w:val="auto"/>
                <w:sz w:val="18"/>
                <w:szCs w:val="18"/>
                <w:lang w:bidi="ar"/>
              </w:rPr>
              <w:t xml:space="preserve">1.2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CA75D1D">
            <w:pPr>
              <w:widowControl/>
              <w:jc w:val="center"/>
              <w:rPr>
                <w:rFonts w:ascii="宋体" w:hAnsi="宋体"/>
                <w:color w:val="auto"/>
                <w:sz w:val="18"/>
                <w:szCs w:val="18"/>
              </w:rPr>
            </w:pPr>
          </w:p>
        </w:tc>
      </w:tr>
      <w:tr w14:paraId="716201E9">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0AB0D01">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5A9EABF">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EF23CBF">
            <w:pPr>
              <w:widowControl/>
              <w:jc w:val="center"/>
              <w:textAlignment w:val="center"/>
              <w:rPr>
                <w:rFonts w:ascii="宋体" w:hAnsi="宋体"/>
                <w:sz w:val="18"/>
                <w:szCs w:val="18"/>
              </w:rPr>
            </w:pPr>
            <w:r>
              <w:rPr>
                <w:rFonts w:ascii="宋体" w:hAnsi="宋体"/>
                <w:sz w:val="18"/>
                <w:szCs w:val="18"/>
                <w:lang w:bidi="ar"/>
              </w:rPr>
              <w:t>其他办公</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647C2E6">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FC7BC13">
            <w:pPr>
              <w:widowControl/>
              <w:jc w:val="center"/>
              <w:textAlignment w:val="center"/>
              <w:rPr>
                <w:rFonts w:ascii="宋体" w:hAnsi="宋体"/>
                <w:color w:val="auto"/>
                <w:sz w:val="18"/>
                <w:szCs w:val="18"/>
              </w:rPr>
            </w:pPr>
            <w:r>
              <w:rPr>
                <w:rFonts w:ascii="宋体" w:hAnsi="宋体"/>
                <w:color w:val="auto"/>
                <w:sz w:val="18"/>
                <w:szCs w:val="18"/>
                <w:lang w:bidi="ar"/>
              </w:rPr>
              <w:t>1.0</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1D15C36">
            <w:pPr>
              <w:widowControl/>
              <w:jc w:val="center"/>
              <w:textAlignment w:val="center"/>
              <w:rPr>
                <w:rFonts w:ascii="宋体" w:hAnsi="宋体"/>
                <w:color w:val="auto"/>
                <w:sz w:val="18"/>
                <w:szCs w:val="18"/>
              </w:rPr>
            </w:pPr>
            <w:r>
              <w:rPr>
                <w:rFonts w:ascii="宋体" w:hAnsi="宋体"/>
                <w:color w:val="auto"/>
                <w:sz w:val="18"/>
                <w:szCs w:val="18"/>
                <w:lang w:bidi="ar"/>
              </w:rPr>
              <w:t xml:space="preserve">1.2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B1357B7">
            <w:pPr>
              <w:widowControl/>
              <w:jc w:val="center"/>
              <w:textAlignment w:val="center"/>
              <w:rPr>
                <w:rFonts w:ascii="宋体" w:hAnsi="宋体"/>
                <w:color w:val="auto"/>
                <w:sz w:val="18"/>
                <w:szCs w:val="18"/>
              </w:rPr>
            </w:pPr>
          </w:p>
        </w:tc>
      </w:tr>
      <w:tr w14:paraId="4F1F0ED1">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CD3FB17">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C4E7B7E">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08BB98C">
            <w:pPr>
              <w:widowControl/>
              <w:jc w:val="center"/>
              <w:textAlignment w:val="center"/>
              <w:rPr>
                <w:rFonts w:ascii="宋体" w:hAnsi="宋体"/>
                <w:sz w:val="18"/>
                <w:szCs w:val="18"/>
              </w:rPr>
            </w:pPr>
            <w:r>
              <w:rPr>
                <w:rFonts w:ascii="宋体" w:hAnsi="宋体"/>
                <w:sz w:val="18"/>
                <w:szCs w:val="18"/>
                <w:lang w:bidi="ar"/>
              </w:rPr>
              <w:t>会议中心</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E0C8C23">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A7FF8F1">
            <w:pPr>
              <w:widowControl/>
              <w:jc w:val="center"/>
              <w:textAlignment w:val="center"/>
              <w:rPr>
                <w:rFonts w:ascii="宋体" w:hAnsi="宋体"/>
                <w:sz w:val="18"/>
                <w:szCs w:val="18"/>
              </w:rPr>
            </w:pPr>
            <w:r>
              <w:rPr>
                <w:rFonts w:ascii="宋体" w:hAnsi="宋体"/>
                <w:sz w:val="18"/>
                <w:szCs w:val="18"/>
                <w:lang w:bidi="ar"/>
              </w:rPr>
              <w:t>1.0</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00F1BE8">
            <w:pPr>
              <w:widowControl/>
              <w:jc w:val="center"/>
              <w:textAlignment w:val="center"/>
              <w:rPr>
                <w:rFonts w:ascii="宋体" w:hAnsi="宋体"/>
                <w:sz w:val="18"/>
                <w:szCs w:val="18"/>
              </w:rPr>
            </w:pPr>
            <w:r>
              <w:rPr>
                <w:rFonts w:ascii="宋体" w:hAnsi="宋体"/>
                <w:sz w:val="18"/>
                <w:szCs w:val="18"/>
                <w:lang w:bidi="ar"/>
              </w:rPr>
              <w:t xml:space="preserve">1.2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84484CF">
            <w:pPr>
              <w:widowControl/>
              <w:jc w:val="center"/>
              <w:textAlignment w:val="center"/>
              <w:rPr>
                <w:rFonts w:ascii="宋体" w:hAnsi="宋体"/>
                <w:sz w:val="18"/>
                <w:szCs w:val="18"/>
              </w:rPr>
            </w:pPr>
          </w:p>
        </w:tc>
      </w:tr>
      <w:tr w14:paraId="37AF2B7E">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vAlign w:val="center"/>
          </w:tcPr>
          <w:p w14:paraId="11497505">
            <w:pPr>
              <w:widowControl/>
              <w:jc w:val="center"/>
              <w:rPr>
                <w:rFonts w:ascii="宋体" w:hAnsi="宋体"/>
                <w:sz w:val="18"/>
                <w:szCs w:val="18"/>
              </w:rPr>
            </w:pPr>
            <w:r>
              <w:rPr>
                <w:rFonts w:ascii="宋体" w:hAnsi="宋体"/>
                <w:sz w:val="18"/>
                <w:szCs w:val="18"/>
                <w:lang w:bidi="ar"/>
              </w:rPr>
              <w:t>4</w:t>
            </w:r>
          </w:p>
        </w:tc>
        <w:tc>
          <w:tcPr>
            <w:tcW w:w="749" w:type="dxa"/>
            <w:vMerge w:val="restart"/>
            <w:tcBorders>
              <w:top w:val="single" w:color="080808" w:sz="8" w:space="0"/>
              <w:left w:val="single" w:color="080808" w:sz="8" w:space="0"/>
              <w:bottom w:val="single" w:color="080808" w:sz="8" w:space="0"/>
              <w:right w:val="single" w:color="080808" w:sz="8" w:space="0"/>
            </w:tcBorders>
            <w:noWrap w:val="0"/>
            <w:vAlign w:val="center"/>
          </w:tcPr>
          <w:p w14:paraId="54B8A733">
            <w:pPr>
              <w:widowControl/>
              <w:jc w:val="center"/>
              <w:rPr>
                <w:rFonts w:ascii="宋体" w:hAnsi="宋体"/>
                <w:sz w:val="18"/>
                <w:szCs w:val="18"/>
              </w:rPr>
            </w:pPr>
            <w:r>
              <w:rPr>
                <w:rFonts w:ascii="宋体" w:hAnsi="宋体"/>
                <w:sz w:val="18"/>
                <w:szCs w:val="18"/>
                <w:lang w:bidi="ar"/>
              </w:rPr>
              <w:t>酒店</w:t>
            </w:r>
          </w:p>
          <w:p w14:paraId="0D968165">
            <w:pPr>
              <w:widowControl/>
              <w:jc w:val="center"/>
              <w:rPr>
                <w:rFonts w:ascii="宋体" w:hAnsi="宋体"/>
                <w:sz w:val="18"/>
                <w:szCs w:val="18"/>
              </w:rPr>
            </w:pPr>
            <w:r>
              <w:rPr>
                <w:rFonts w:ascii="宋体" w:hAnsi="宋体"/>
                <w:sz w:val="18"/>
                <w:szCs w:val="18"/>
                <w:lang w:bidi="ar"/>
              </w:rPr>
              <w:t>宾馆</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86FEAEC">
            <w:pPr>
              <w:widowControl/>
              <w:jc w:val="center"/>
              <w:textAlignment w:val="center"/>
              <w:rPr>
                <w:rFonts w:ascii="宋体" w:hAnsi="宋体"/>
                <w:sz w:val="18"/>
                <w:szCs w:val="18"/>
              </w:rPr>
            </w:pPr>
            <w:r>
              <w:rPr>
                <w:rFonts w:ascii="宋体" w:hAnsi="宋体"/>
                <w:sz w:val="18"/>
                <w:szCs w:val="18"/>
                <w:lang w:bidi="ar"/>
              </w:rPr>
              <w:t>五星级</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219E412">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B73CC83">
            <w:pPr>
              <w:widowControl/>
              <w:jc w:val="center"/>
              <w:textAlignment w:val="center"/>
              <w:rPr>
                <w:rFonts w:ascii="宋体" w:hAnsi="宋体"/>
                <w:sz w:val="18"/>
                <w:szCs w:val="18"/>
              </w:rPr>
            </w:pPr>
            <w:r>
              <w:rPr>
                <w:rFonts w:ascii="宋体" w:hAnsi="宋体"/>
                <w:sz w:val="18"/>
                <w:szCs w:val="18"/>
                <w:lang w:bidi="ar"/>
              </w:rPr>
              <w:t>1.2</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455CF24">
            <w:pPr>
              <w:widowControl/>
              <w:jc w:val="center"/>
              <w:textAlignment w:val="center"/>
              <w:rPr>
                <w:rFonts w:ascii="宋体" w:hAnsi="宋体"/>
                <w:sz w:val="18"/>
                <w:szCs w:val="18"/>
              </w:rPr>
            </w:pPr>
            <w:r>
              <w:rPr>
                <w:rFonts w:ascii="宋体" w:hAnsi="宋体"/>
                <w:sz w:val="18"/>
                <w:szCs w:val="18"/>
                <w:lang w:bidi="ar"/>
              </w:rPr>
              <w:t>0.2</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BC60C16">
            <w:pPr>
              <w:widowControl/>
              <w:jc w:val="center"/>
              <w:textAlignment w:val="center"/>
              <w:rPr>
                <w:rFonts w:ascii="宋体" w:hAnsi="宋体"/>
                <w:sz w:val="18"/>
                <w:szCs w:val="18"/>
              </w:rPr>
            </w:pPr>
          </w:p>
        </w:tc>
      </w:tr>
      <w:tr w14:paraId="6DD50CE3">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vAlign w:val="center"/>
          </w:tcPr>
          <w:p w14:paraId="3FDF603D">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vAlign w:val="center"/>
          </w:tcPr>
          <w:p w14:paraId="1820D5AB">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1720A71">
            <w:pPr>
              <w:widowControl/>
              <w:jc w:val="center"/>
              <w:textAlignment w:val="center"/>
              <w:rPr>
                <w:rFonts w:ascii="宋体" w:hAnsi="宋体"/>
                <w:sz w:val="18"/>
                <w:szCs w:val="18"/>
              </w:rPr>
            </w:pPr>
            <w:r>
              <w:rPr>
                <w:rFonts w:ascii="宋体" w:hAnsi="宋体"/>
                <w:sz w:val="18"/>
                <w:szCs w:val="18"/>
                <w:lang w:bidi="ar"/>
              </w:rPr>
              <w:t>三—四星级</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1CC0EB5">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735264A">
            <w:pPr>
              <w:widowControl/>
              <w:jc w:val="center"/>
              <w:textAlignment w:val="center"/>
              <w:rPr>
                <w:rFonts w:ascii="宋体" w:hAnsi="宋体"/>
                <w:sz w:val="18"/>
                <w:szCs w:val="18"/>
              </w:rPr>
            </w:pPr>
            <w:r>
              <w:rPr>
                <w:rFonts w:ascii="宋体" w:hAnsi="宋体"/>
                <w:sz w:val="18"/>
                <w:szCs w:val="18"/>
                <w:lang w:bidi="ar"/>
              </w:rPr>
              <w:t>1</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B02CC6C">
            <w:pPr>
              <w:widowControl/>
              <w:jc w:val="center"/>
              <w:textAlignment w:val="center"/>
              <w:rPr>
                <w:rFonts w:ascii="宋体" w:hAnsi="宋体"/>
                <w:sz w:val="18"/>
                <w:szCs w:val="18"/>
              </w:rPr>
            </w:pPr>
            <w:r>
              <w:rPr>
                <w:rFonts w:ascii="宋体" w:hAnsi="宋体"/>
                <w:sz w:val="18"/>
                <w:szCs w:val="18"/>
                <w:lang w:bidi="ar"/>
              </w:rPr>
              <w:t>0.2</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71F6019">
            <w:pPr>
              <w:widowControl/>
              <w:jc w:val="center"/>
              <w:textAlignment w:val="center"/>
              <w:rPr>
                <w:rFonts w:ascii="宋体" w:hAnsi="宋体"/>
                <w:sz w:val="18"/>
                <w:szCs w:val="18"/>
              </w:rPr>
            </w:pPr>
          </w:p>
        </w:tc>
      </w:tr>
      <w:tr w14:paraId="2F10C703">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vAlign w:val="center"/>
          </w:tcPr>
          <w:p w14:paraId="75172525">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vAlign w:val="center"/>
          </w:tcPr>
          <w:p w14:paraId="5B427031">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F72194C">
            <w:pPr>
              <w:widowControl/>
              <w:jc w:val="center"/>
              <w:textAlignment w:val="center"/>
              <w:rPr>
                <w:rFonts w:ascii="宋体" w:hAnsi="宋体"/>
                <w:sz w:val="18"/>
                <w:szCs w:val="18"/>
              </w:rPr>
            </w:pPr>
            <w:r>
              <w:rPr>
                <w:rFonts w:ascii="宋体" w:hAnsi="宋体"/>
                <w:sz w:val="18"/>
                <w:szCs w:val="18"/>
                <w:lang w:bidi="ar"/>
              </w:rPr>
              <w:t>其他酒店</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8F084E6">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58D0FD4">
            <w:pPr>
              <w:widowControl/>
              <w:jc w:val="center"/>
              <w:textAlignment w:val="center"/>
              <w:rPr>
                <w:rFonts w:ascii="宋体" w:hAnsi="宋体"/>
                <w:sz w:val="18"/>
                <w:szCs w:val="18"/>
              </w:rPr>
            </w:pPr>
            <w:r>
              <w:rPr>
                <w:rFonts w:ascii="宋体" w:hAnsi="宋体"/>
                <w:sz w:val="18"/>
                <w:szCs w:val="18"/>
                <w:lang w:bidi="ar"/>
              </w:rPr>
              <w:t>0.5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DC5DA13">
            <w:pPr>
              <w:widowControl/>
              <w:jc w:val="center"/>
              <w:textAlignment w:val="center"/>
              <w:rPr>
                <w:rFonts w:ascii="宋体" w:hAnsi="宋体"/>
                <w:sz w:val="18"/>
                <w:szCs w:val="18"/>
              </w:rPr>
            </w:pPr>
            <w:r>
              <w:rPr>
                <w:rFonts w:ascii="宋体" w:hAnsi="宋体"/>
                <w:sz w:val="18"/>
                <w:szCs w:val="18"/>
                <w:lang w:bidi="ar"/>
              </w:rPr>
              <w:t>0.3</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A474C55">
            <w:pPr>
              <w:widowControl/>
              <w:jc w:val="center"/>
              <w:textAlignment w:val="center"/>
              <w:rPr>
                <w:rFonts w:ascii="宋体" w:hAnsi="宋体"/>
                <w:sz w:val="18"/>
                <w:szCs w:val="18"/>
              </w:rPr>
            </w:pPr>
            <w:r>
              <w:rPr>
                <w:rFonts w:ascii="宋体" w:hAnsi="宋体"/>
                <w:sz w:val="18"/>
                <w:szCs w:val="18"/>
                <w:lang w:bidi="ar"/>
              </w:rPr>
              <w:t>指经济性酒店、一般招待所</w:t>
            </w:r>
          </w:p>
        </w:tc>
      </w:tr>
      <w:tr w14:paraId="527042DA">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85FA161">
            <w:pPr>
              <w:widowControl/>
              <w:jc w:val="center"/>
              <w:rPr>
                <w:rFonts w:ascii="宋体" w:hAnsi="宋体"/>
                <w:sz w:val="18"/>
                <w:szCs w:val="18"/>
              </w:rPr>
            </w:pPr>
            <w:r>
              <w:rPr>
                <w:rFonts w:ascii="宋体" w:hAnsi="宋体"/>
                <w:sz w:val="18"/>
                <w:szCs w:val="18"/>
                <w:lang w:bidi="ar"/>
              </w:rPr>
              <w:t xml:space="preserve">5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2590352">
            <w:pPr>
              <w:widowControl/>
              <w:jc w:val="center"/>
              <w:rPr>
                <w:rFonts w:ascii="宋体" w:hAnsi="宋体"/>
                <w:sz w:val="18"/>
                <w:szCs w:val="18"/>
              </w:rPr>
            </w:pPr>
            <w:r>
              <w:rPr>
                <w:rFonts w:ascii="宋体" w:hAnsi="宋体"/>
                <w:sz w:val="18"/>
                <w:szCs w:val="18"/>
                <w:lang w:bidi="ar"/>
              </w:rPr>
              <w:t>餐饮</w:t>
            </w:r>
          </w:p>
          <w:p w14:paraId="6E99DA07">
            <w:pPr>
              <w:widowControl/>
              <w:jc w:val="center"/>
              <w:rPr>
                <w:rFonts w:ascii="宋体" w:hAnsi="宋体"/>
                <w:sz w:val="18"/>
                <w:szCs w:val="18"/>
              </w:rPr>
            </w:pPr>
            <w:r>
              <w:rPr>
                <w:rFonts w:ascii="宋体" w:hAnsi="宋体"/>
                <w:sz w:val="18"/>
                <w:szCs w:val="18"/>
                <w:lang w:bidi="ar"/>
              </w:rPr>
              <w:t>娱乐</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085A10A">
            <w:pPr>
              <w:widowControl/>
              <w:jc w:val="center"/>
              <w:rPr>
                <w:rFonts w:ascii="宋体" w:hAnsi="宋体"/>
                <w:sz w:val="18"/>
                <w:szCs w:val="18"/>
              </w:rPr>
            </w:pPr>
            <w:r>
              <w:rPr>
                <w:rFonts w:ascii="宋体" w:hAnsi="宋体"/>
                <w:sz w:val="18"/>
                <w:szCs w:val="18"/>
                <w:lang w:bidi="ar"/>
              </w:rPr>
              <w:t>大型</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65D6881">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ECD98DC">
            <w:pPr>
              <w:widowControl/>
              <w:jc w:val="center"/>
              <w:textAlignment w:val="center"/>
              <w:rPr>
                <w:rFonts w:ascii="宋体" w:hAnsi="宋体"/>
                <w:sz w:val="18"/>
                <w:szCs w:val="18"/>
              </w:rPr>
            </w:pPr>
            <w:r>
              <w:rPr>
                <w:rFonts w:ascii="宋体" w:hAnsi="宋体"/>
                <w:sz w:val="18"/>
                <w:szCs w:val="18"/>
                <w:lang w:bidi="ar"/>
              </w:rPr>
              <w:t>2.5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3A20E31">
            <w:pPr>
              <w:widowControl/>
              <w:jc w:val="center"/>
              <w:textAlignment w:val="center"/>
              <w:rPr>
                <w:rFonts w:ascii="宋体" w:hAnsi="宋体"/>
                <w:sz w:val="18"/>
                <w:szCs w:val="18"/>
              </w:rPr>
            </w:pPr>
            <w:r>
              <w:rPr>
                <w:rFonts w:ascii="宋体" w:hAnsi="宋体"/>
                <w:sz w:val="18"/>
                <w:szCs w:val="18"/>
                <w:lang w:bidi="ar"/>
              </w:rPr>
              <w:t>1</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060D44D">
            <w:pPr>
              <w:widowControl/>
              <w:jc w:val="center"/>
              <w:rPr>
                <w:rFonts w:ascii="宋体" w:hAnsi="宋体"/>
                <w:sz w:val="18"/>
                <w:szCs w:val="18"/>
              </w:rPr>
            </w:pPr>
            <w:r>
              <w:rPr>
                <w:rFonts w:ascii="宋体" w:hAnsi="宋体"/>
                <w:sz w:val="18"/>
                <w:szCs w:val="18"/>
                <w:lang w:bidi="ar"/>
              </w:rPr>
              <w:t>餐饮指建筑面积≥5000m</w:t>
            </w:r>
            <w:r>
              <w:rPr>
                <w:rFonts w:ascii="宋体" w:hAnsi="宋体"/>
                <w:sz w:val="18"/>
                <w:szCs w:val="18"/>
                <w:vertAlign w:val="superscript"/>
                <w:lang w:bidi="ar"/>
              </w:rPr>
              <w:t>2</w:t>
            </w:r>
            <w:r>
              <w:rPr>
                <w:rFonts w:ascii="宋体" w:hAnsi="宋体"/>
                <w:sz w:val="18"/>
                <w:szCs w:val="18"/>
                <w:lang w:bidi="ar"/>
              </w:rPr>
              <w:t>；娱乐指建筑面积≥3000m</w:t>
            </w:r>
            <w:r>
              <w:rPr>
                <w:rFonts w:ascii="宋体" w:hAnsi="宋体"/>
                <w:sz w:val="18"/>
                <w:szCs w:val="18"/>
                <w:vertAlign w:val="superscript"/>
                <w:lang w:bidi="ar"/>
              </w:rPr>
              <w:t>2</w:t>
            </w:r>
            <w:r>
              <w:rPr>
                <w:rFonts w:ascii="宋体" w:hAnsi="宋体"/>
                <w:sz w:val="18"/>
                <w:szCs w:val="18"/>
                <w:lang w:bidi="ar"/>
              </w:rPr>
              <w:t xml:space="preserve"> </w:t>
            </w:r>
          </w:p>
        </w:tc>
      </w:tr>
      <w:tr w14:paraId="7F92E5A8">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5B4E06F">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A2BEB46">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F3104B2">
            <w:pPr>
              <w:widowControl/>
              <w:jc w:val="center"/>
              <w:textAlignment w:val="center"/>
              <w:rPr>
                <w:rFonts w:ascii="宋体" w:hAnsi="宋体"/>
                <w:sz w:val="18"/>
                <w:szCs w:val="18"/>
              </w:rPr>
            </w:pPr>
            <w:r>
              <w:rPr>
                <w:rFonts w:ascii="宋体" w:hAnsi="宋体"/>
                <w:sz w:val="18"/>
                <w:szCs w:val="18"/>
                <w:lang w:bidi="ar"/>
              </w:rPr>
              <w:t>一般</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2904A53">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A4D3254">
            <w:pPr>
              <w:widowControl/>
              <w:jc w:val="center"/>
              <w:textAlignment w:val="center"/>
              <w:rPr>
                <w:rFonts w:ascii="宋体" w:hAnsi="宋体"/>
                <w:sz w:val="18"/>
                <w:szCs w:val="18"/>
              </w:rPr>
            </w:pPr>
            <w:r>
              <w:rPr>
                <w:rFonts w:ascii="宋体" w:hAnsi="宋体"/>
                <w:sz w:val="18"/>
                <w:szCs w:val="18"/>
                <w:lang w:bidi="ar"/>
              </w:rPr>
              <w:t>2</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4A1AA1D">
            <w:pPr>
              <w:widowControl/>
              <w:jc w:val="center"/>
              <w:textAlignment w:val="center"/>
              <w:rPr>
                <w:rFonts w:ascii="宋体" w:hAnsi="宋体"/>
                <w:sz w:val="18"/>
                <w:szCs w:val="18"/>
              </w:rPr>
            </w:pPr>
            <w:r>
              <w:rPr>
                <w:rFonts w:ascii="宋体" w:hAnsi="宋体"/>
                <w:sz w:val="18"/>
                <w:szCs w:val="18"/>
                <w:lang w:bidi="ar"/>
              </w:rPr>
              <w:t>1</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8B9C188">
            <w:pPr>
              <w:widowControl/>
              <w:jc w:val="center"/>
              <w:textAlignment w:val="center"/>
              <w:rPr>
                <w:rFonts w:ascii="宋体" w:hAnsi="宋体"/>
                <w:sz w:val="18"/>
                <w:szCs w:val="18"/>
              </w:rPr>
            </w:pPr>
            <w:r>
              <w:rPr>
                <w:rFonts w:ascii="宋体" w:hAnsi="宋体"/>
                <w:sz w:val="18"/>
                <w:szCs w:val="18"/>
                <w:lang w:bidi="ar"/>
              </w:rPr>
              <w:t>餐饮指建筑面积＜5000m</w:t>
            </w:r>
            <w:r>
              <w:rPr>
                <w:rFonts w:ascii="宋体" w:hAnsi="宋体"/>
                <w:sz w:val="18"/>
                <w:szCs w:val="18"/>
                <w:vertAlign w:val="superscript"/>
                <w:lang w:bidi="ar"/>
              </w:rPr>
              <w:t>2</w:t>
            </w:r>
            <w:r>
              <w:rPr>
                <w:rFonts w:ascii="宋体" w:hAnsi="宋体"/>
                <w:sz w:val="18"/>
                <w:szCs w:val="18"/>
                <w:lang w:bidi="ar"/>
              </w:rPr>
              <w:t>；娱乐指建筑面积＜3000m</w:t>
            </w:r>
            <w:r>
              <w:rPr>
                <w:rFonts w:ascii="宋体" w:hAnsi="宋体"/>
                <w:sz w:val="18"/>
                <w:szCs w:val="18"/>
                <w:vertAlign w:val="superscript"/>
                <w:lang w:bidi="ar"/>
              </w:rPr>
              <w:t>2</w:t>
            </w:r>
            <w:r>
              <w:rPr>
                <w:rFonts w:ascii="宋体" w:hAnsi="宋体"/>
                <w:sz w:val="18"/>
                <w:szCs w:val="18"/>
                <w:lang w:bidi="ar"/>
              </w:rPr>
              <w:t xml:space="preserve"> </w:t>
            </w:r>
          </w:p>
        </w:tc>
      </w:tr>
      <w:tr w14:paraId="74FAC43D">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0ABF44A">
            <w:pPr>
              <w:widowControl/>
              <w:jc w:val="center"/>
              <w:rPr>
                <w:rFonts w:ascii="宋体" w:hAnsi="宋体"/>
                <w:sz w:val="18"/>
                <w:szCs w:val="18"/>
              </w:rPr>
            </w:pPr>
            <w:r>
              <w:rPr>
                <w:rFonts w:ascii="宋体" w:hAnsi="宋体"/>
                <w:sz w:val="18"/>
                <w:szCs w:val="18"/>
                <w:lang w:bidi="ar"/>
              </w:rPr>
              <w:t xml:space="preserve">6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1D6784E">
            <w:pPr>
              <w:widowControl/>
              <w:jc w:val="center"/>
              <w:rPr>
                <w:rFonts w:ascii="宋体" w:hAnsi="宋体"/>
                <w:sz w:val="18"/>
                <w:szCs w:val="18"/>
              </w:rPr>
            </w:pPr>
            <w:r>
              <w:rPr>
                <w:rFonts w:ascii="宋体" w:hAnsi="宋体"/>
                <w:sz w:val="18"/>
                <w:szCs w:val="18"/>
                <w:lang w:bidi="ar"/>
              </w:rPr>
              <w:t>医疗</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B36D558">
            <w:pPr>
              <w:widowControl/>
              <w:jc w:val="center"/>
              <w:rPr>
                <w:rFonts w:ascii="宋体" w:hAnsi="宋体"/>
                <w:sz w:val="18"/>
                <w:szCs w:val="18"/>
              </w:rPr>
            </w:pPr>
            <w:r>
              <w:rPr>
                <w:rFonts w:ascii="宋体" w:hAnsi="宋体"/>
                <w:sz w:val="18"/>
                <w:szCs w:val="18"/>
                <w:lang w:bidi="ar"/>
              </w:rPr>
              <w:t>三甲医院</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0ACF8E0">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6CFE265">
            <w:pPr>
              <w:widowControl/>
              <w:jc w:val="center"/>
              <w:textAlignment w:val="center"/>
              <w:rPr>
                <w:rFonts w:ascii="宋体" w:hAnsi="宋体"/>
                <w:sz w:val="18"/>
                <w:szCs w:val="18"/>
              </w:rPr>
            </w:pPr>
            <w:r>
              <w:rPr>
                <w:rFonts w:ascii="宋体" w:hAnsi="宋体"/>
                <w:sz w:val="18"/>
                <w:szCs w:val="18"/>
                <w:lang w:bidi="ar"/>
              </w:rPr>
              <w:t>2.5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747F6B3">
            <w:pPr>
              <w:widowControl/>
              <w:jc w:val="center"/>
              <w:textAlignment w:val="center"/>
              <w:rPr>
                <w:rFonts w:ascii="宋体" w:hAnsi="宋体"/>
                <w:sz w:val="18"/>
                <w:szCs w:val="18"/>
              </w:rPr>
            </w:pPr>
            <w:r>
              <w:rPr>
                <w:rFonts w:ascii="宋体" w:hAnsi="宋体"/>
                <w:sz w:val="18"/>
                <w:szCs w:val="18"/>
                <w:lang w:bidi="ar"/>
              </w:rPr>
              <w:t>1.2</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EB845C1">
            <w:pPr>
              <w:widowControl/>
              <w:jc w:val="center"/>
              <w:rPr>
                <w:rFonts w:ascii="宋体" w:hAnsi="宋体"/>
                <w:sz w:val="18"/>
                <w:szCs w:val="18"/>
              </w:rPr>
            </w:pPr>
            <w:r>
              <w:rPr>
                <w:rFonts w:ascii="宋体" w:hAnsi="宋体"/>
                <w:sz w:val="18"/>
                <w:szCs w:val="18"/>
                <w:lang w:bidi="ar"/>
              </w:rPr>
              <w:t xml:space="preserve">  </w:t>
            </w:r>
          </w:p>
        </w:tc>
      </w:tr>
      <w:tr w14:paraId="282494C6">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B9DB585">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193CBC5">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02251C1">
            <w:pPr>
              <w:widowControl/>
              <w:jc w:val="center"/>
              <w:rPr>
                <w:rFonts w:ascii="宋体" w:hAnsi="宋体"/>
                <w:sz w:val="18"/>
                <w:szCs w:val="18"/>
              </w:rPr>
            </w:pPr>
            <w:r>
              <w:rPr>
                <w:rFonts w:ascii="宋体" w:hAnsi="宋体"/>
                <w:sz w:val="18"/>
                <w:szCs w:val="18"/>
                <w:lang w:bidi="ar"/>
              </w:rPr>
              <w:t>一般医院</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2B016C7">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0AAE913">
            <w:pPr>
              <w:widowControl/>
              <w:jc w:val="center"/>
              <w:textAlignment w:val="center"/>
              <w:rPr>
                <w:rFonts w:ascii="宋体" w:hAnsi="宋体"/>
                <w:sz w:val="18"/>
                <w:szCs w:val="18"/>
              </w:rPr>
            </w:pPr>
            <w:r>
              <w:rPr>
                <w:rFonts w:ascii="宋体" w:hAnsi="宋体"/>
                <w:sz w:val="18"/>
                <w:szCs w:val="18"/>
                <w:lang w:bidi="ar"/>
              </w:rPr>
              <w:t>1.2</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3D39574">
            <w:pPr>
              <w:widowControl/>
              <w:jc w:val="center"/>
              <w:textAlignment w:val="center"/>
              <w:rPr>
                <w:rFonts w:ascii="宋体" w:hAnsi="宋体"/>
                <w:sz w:val="18"/>
                <w:szCs w:val="18"/>
              </w:rPr>
            </w:pPr>
            <w:r>
              <w:rPr>
                <w:rFonts w:ascii="宋体" w:hAnsi="宋体"/>
                <w:sz w:val="18"/>
                <w:szCs w:val="18"/>
                <w:lang w:bidi="ar"/>
              </w:rPr>
              <w:t>1.0</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2CD2FC6">
            <w:pPr>
              <w:widowControl/>
              <w:jc w:val="center"/>
              <w:rPr>
                <w:rFonts w:ascii="宋体" w:hAnsi="宋体"/>
                <w:sz w:val="18"/>
                <w:szCs w:val="18"/>
              </w:rPr>
            </w:pPr>
          </w:p>
        </w:tc>
      </w:tr>
      <w:tr w14:paraId="51B14F1A">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A918334">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63D5C5D">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50FC9CA">
            <w:pPr>
              <w:widowControl/>
              <w:jc w:val="center"/>
              <w:textAlignment w:val="center"/>
              <w:rPr>
                <w:rFonts w:ascii="宋体" w:hAnsi="宋体"/>
                <w:sz w:val="18"/>
                <w:szCs w:val="18"/>
              </w:rPr>
            </w:pPr>
            <w:r>
              <w:rPr>
                <w:rFonts w:ascii="宋体" w:hAnsi="宋体"/>
                <w:sz w:val="18"/>
                <w:szCs w:val="18"/>
                <w:lang w:bidi="ar"/>
              </w:rPr>
              <w:t>社区医院</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6700C4B">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454164A">
            <w:pPr>
              <w:widowControl/>
              <w:jc w:val="center"/>
              <w:textAlignment w:val="center"/>
              <w:rPr>
                <w:rFonts w:ascii="宋体" w:hAnsi="宋体"/>
                <w:sz w:val="18"/>
                <w:szCs w:val="18"/>
              </w:rPr>
            </w:pPr>
            <w:r>
              <w:rPr>
                <w:rFonts w:ascii="宋体" w:hAnsi="宋体"/>
                <w:sz w:val="18"/>
                <w:szCs w:val="18"/>
                <w:lang w:bidi="ar"/>
              </w:rPr>
              <w:t>1</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CE324E9">
            <w:pPr>
              <w:widowControl/>
              <w:jc w:val="center"/>
              <w:textAlignment w:val="center"/>
              <w:rPr>
                <w:rFonts w:ascii="宋体" w:hAnsi="宋体"/>
                <w:sz w:val="18"/>
                <w:szCs w:val="18"/>
              </w:rPr>
            </w:pPr>
            <w:r>
              <w:rPr>
                <w:rFonts w:ascii="宋体" w:hAnsi="宋体"/>
                <w:sz w:val="18"/>
                <w:szCs w:val="18"/>
                <w:lang w:bidi="ar"/>
              </w:rPr>
              <w:t>0.8</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D7A98A4">
            <w:pPr>
              <w:widowControl/>
              <w:jc w:val="center"/>
              <w:textAlignment w:val="center"/>
              <w:rPr>
                <w:rFonts w:ascii="宋体" w:hAnsi="宋体"/>
                <w:sz w:val="18"/>
                <w:szCs w:val="18"/>
              </w:rPr>
            </w:pPr>
            <w:r>
              <w:rPr>
                <w:rFonts w:ascii="宋体" w:hAnsi="宋体"/>
                <w:sz w:val="18"/>
                <w:szCs w:val="18"/>
                <w:lang w:bidi="ar"/>
              </w:rPr>
              <w:t xml:space="preserve">  </w:t>
            </w:r>
          </w:p>
        </w:tc>
      </w:tr>
      <w:tr w14:paraId="1B05D818">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B88ACFA">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F908D96">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7554DDD">
            <w:pPr>
              <w:widowControl/>
              <w:jc w:val="center"/>
              <w:textAlignment w:val="center"/>
              <w:rPr>
                <w:rFonts w:ascii="宋体" w:hAnsi="宋体"/>
                <w:sz w:val="18"/>
                <w:szCs w:val="18"/>
              </w:rPr>
            </w:pPr>
            <w:r>
              <w:rPr>
                <w:rFonts w:ascii="宋体" w:hAnsi="宋体"/>
                <w:sz w:val="18"/>
                <w:szCs w:val="18"/>
                <w:lang w:bidi="ar"/>
              </w:rPr>
              <w:t>疗养院</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70349DF">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E075C7F">
            <w:pPr>
              <w:widowControl/>
              <w:jc w:val="center"/>
              <w:textAlignment w:val="center"/>
              <w:rPr>
                <w:rFonts w:ascii="宋体" w:hAnsi="宋体"/>
                <w:sz w:val="18"/>
                <w:szCs w:val="18"/>
              </w:rPr>
            </w:pPr>
            <w:r>
              <w:rPr>
                <w:rFonts w:ascii="宋体" w:hAnsi="宋体"/>
                <w:sz w:val="18"/>
                <w:szCs w:val="18"/>
                <w:lang w:bidi="ar"/>
              </w:rPr>
              <w:t>0.6</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99FA2F5">
            <w:pPr>
              <w:widowControl/>
              <w:jc w:val="center"/>
              <w:textAlignment w:val="center"/>
              <w:rPr>
                <w:rFonts w:ascii="宋体" w:hAnsi="宋体"/>
                <w:sz w:val="18"/>
                <w:szCs w:val="18"/>
              </w:rPr>
            </w:pPr>
            <w:r>
              <w:rPr>
                <w:rFonts w:ascii="宋体" w:hAnsi="宋体"/>
                <w:sz w:val="18"/>
                <w:szCs w:val="18"/>
                <w:lang w:bidi="ar"/>
              </w:rPr>
              <w:t>/</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6B6B1CD">
            <w:pPr>
              <w:widowControl/>
              <w:jc w:val="center"/>
              <w:textAlignment w:val="center"/>
              <w:rPr>
                <w:rFonts w:ascii="宋体" w:hAnsi="宋体"/>
                <w:sz w:val="18"/>
                <w:szCs w:val="18"/>
              </w:rPr>
            </w:pPr>
          </w:p>
        </w:tc>
      </w:tr>
      <w:tr w14:paraId="2FA19754">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53720AE">
            <w:pPr>
              <w:widowControl/>
              <w:jc w:val="center"/>
              <w:rPr>
                <w:rFonts w:ascii="宋体" w:hAnsi="宋体"/>
                <w:sz w:val="18"/>
                <w:szCs w:val="18"/>
              </w:rPr>
            </w:pPr>
            <w:r>
              <w:rPr>
                <w:rFonts w:ascii="宋体" w:hAnsi="宋体"/>
                <w:sz w:val="18"/>
                <w:szCs w:val="18"/>
                <w:lang w:bidi="ar"/>
              </w:rPr>
              <w:t xml:space="preserve">7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83F0FA8">
            <w:pPr>
              <w:widowControl/>
              <w:jc w:val="center"/>
              <w:rPr>
                <w:rFonts w:ascii="宋体" w:hAnsi="宋体"/>
                <w:sz w:val="18"/>
                <w:szCs w:val="18"/>
              </w:rPr>
            </w:pPr>
            <w:r>
              <w:rPr>
                <w:rFonts w:ascii="宋体" w:hAnsi="宋体"/>
                <w:sz w:val="18"/>
                <w:szCs w:val="18"/>
                <w:lang w:bidi="ar"/>
              </w:rPr>
              <w:t>体育</w:t>
            </w:r>
          </w:p>
          <w:p w14:paraId="06D4B57A">
            <w:pPr>
              <w:widowControl/>
              <w:jc w:val="center"/>
              <w:rPr>
                <w:rFonts w:ascii="宋体" w:hAnsi="宋体"/>
                <w:sz w:val="18"/>
                <w:szCs w:val="18"/>
              </w:rPr>
            </w:pPr>
            <w:r>
              <w:rPr>
                <w:rFonts w:ascii="宋体" w:hAnsi="宋体"/>
                <w:sz w:val="18"/>
                <w:szCs w:val="18"/>
                <w:lang w:bidi="ar"/>
              </w:rPr>
              <w:t>场馆</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4309A90">
            <w:pPr>
              <w:widowControl/>
              <w:jc w:val="center"/>
              <w:rPr>
                <w:rFonts w:ascii="宋体" w:hAnsi="宋体"/>
                <w:sz w:val="18"/>
                <w:szCs w:val="18"/>
              </w:rPr>
            </w:pPr>
            <w:r>
              <w:rPr>
                <w:rFonts w:ascii="宋体" w:hAnsi="宋体"/>
                <w:sz w:val="18"/>
                <w:szCs w:val="18"/>
                <w:lang w:bidi="ar"/>
              </w:rPr>
              <w:t>一类</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C73F184">
            <w:pPr>
              <w:widowControl/>
              <w:jc w:val="center"/>
              <w:rPr>
                <w:rFonts w:ascii="宋体" w:hAnsi="宋体"/>
                <w:sz w:val="18"/>
                <w:szCs w:val="18"/>
              </w:rPr>
            </w:pPr>
            <w:r>
              <w:rPr>
                <w:rFonts w:ascii="宋体" w:hAnsi="宋体"/>
                <w:sz w:val="18"/>
                <w:szCs w:val="18"/>
                <w:lang w:bidi="ar"/>
              </w:rPr>
              <w:t>停车位/每百座</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9504F2D">
            <w:pPr>
              <w:widowControl/>
              <w:jc w:val="center"/>
              <w:textAlignment w:val="center"/>
              <w:rPr>
                <w:rFonts w:ascii="宋体" w:hAnsi="宋体"/>
                <w:sz w:val="18"/>
                <w:szCs w:val="18"/>
              </w:rPr>
            </w:pPr>
            <w:r>
              <w:rPr>
                <w:rFonts w:ascii="宋体" w:hAnsi="宋体"/>
                <w:sz w:val="18"/>
                <w:szCs w:val="18"/>
                <w:lang w:bidi="ar"/>
              </w:rPr>
              <w:t>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1526A66">
            <w:pPr>
              <w:widowControl/>
              <w:jc w:val="center"/>
              <w:textAlignment w:val="center"/>
              <w:rPr>
                <w:rFonts w:ascii="宋体" w:hAnsi="宋体"/>
                <w:sz w:val="18"/>
                <w:szCs w:val="18"/>
              </w:rPr>
            </w:pPr>
            <w:r>
              <w:rPr>
                <w:rFonts w:ascii="宋体" w:hAnsi="宋体"/>
                <w:sz w:val="18"/>
                <w:szCs w:val="18"/>
                <w:lang w:bidi="ar"/>
              </w:rPr>
              <w:t>15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4C6BB79">
            <w:pPr>
              <w:widowControl/>
              <w:jc w:val="center"/>
              <w:rPr>
                <w:rFonts w:ascii="宋体" w:hAnsi="宋体"/>
                <w:sz w:val="18"/>
                <w:szCs w:val="18"/>
              </w:rPr>
            </w:pPr>
            <w:r>
              <w:rPr>
                <w:rFonts w:ascii="宋体" w:hAnsi="宋体"/>
                <w:sz w:val="18"/>
                <w:szCs w:val="18"/>
                <w:lang w:bidi="ar"/>
              </w:rPr>
              <w:t>指座位数≥15000的体育场；座位数≥4000的体育馆</w:t>
            </w:r>
          </w:p>
        </w:tc>
      </w:tr>
      <w:tr w14:paraId="0B887DE5">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1078710">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A8DAA00">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609D6D0">
            <w:pPr>
              <w:widowControl/>
              <w:jc w:val="center"/>
              <w:textAlignment w:val="center"/>
              <w:rPr>
                <w:rFonts w:ascii="宋体" w:hAnsi="宋体"/>
                <w:sz w:val="18"/>
                <w:szCs w:val="18"/>
              </w:rPr>
            </w:pPr>
            <w:r>
              <w:rPr>
                <w:rFonts w:ascii="宋体" w:hAnsi="宋体"/>
                <w:sz w:val="18"/>
                <w:szCs w:val="18"/>
                <w:lang w:bidi="ar"/>
              </w:rPr>
              <w:t>二类</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AD8A825">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F3600F8">
            <w:pPr>
              <w:widowControl/>
              <w:jc w:val="center"/>
              <w:textAlignment w:val="center"/>
              <w:rPr>
                <w:rFonts w:ascii="宋体" w:hAnsi="宋体"/>
                <w:sz w:val="18"/>
                <w:szCs w:val="18"/>
              </w:rPr>
            </w:pPr>
            <w:r>
              <w:rPr>
                <w:rFonts w:ascii="宋体" w:hAnsi="宋体"/>
                <w:sz w:val="18"/>
                <w:szCs w:val="18"/>
                <w:lang w:bidi="ar"/>
              </w:rPr>
              <w:t>4</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DC7D8AD">
            <w:pPr>
              <w:widowControl/>
              <w:jc w:val="center"/>
              <w:textAlignment w:val="center"/>
              <w:rPr>
                <w:rFonts w:ascii="宋体" w:hAnsi="宋体"/>
                <w:sz w:val="18"/>
                <w:szCs w:val="18"/>
              </w:rPr>
            </w:pPr>
            <w:r>
              <w:rPr>
                <w:rFonts w:ascii="宋体" w:hAnsi="宋体"/>
                <w:sz w:val="18"/>
                <w:szCs w:val="18"/>
                <w:lang w:bidi="ar"/>
              </w:rPr>
              <w:t>15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3992115">
            <w:pPr>
              <w:widowControl/>
              <w:jc w:val="center"/>
              <w:textAlignment w:val="center"/>
              <w:rPr>
                <w:rFonts w:ascii="宋体" w:hAnsi="宋体"/>
                <w:sz w:val="18"/>
                <w:szCs w:val="18"/>
              </w:rPr>
            </w:pPr>
            <w:r>
              <w:rPr>
                <w:rFonts w:ascii="宋体" w:hAnsi="宋体"/>
                <w:sz w:val="18"/>
                <w:szCs w:val="18"/>
                <w:lang w:bidi="ar"/>
              </w:rPr>
              <w:t>指座位数&lt;15000的体育场，座位数&lt;4000的体育馆</w:t>
            </w:r>
          </w:p>
        </w:tc>
      </w:tr>
      <w:tr w14:paraId="72FECABA">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2636769">
            <w:pPr>
              <w:widowControl/>
              <w:jc w:val="center"/>
              <w:rPr>
                <w:rFonts w:ascii="宋体" w:hAnsi="宋体"/>
                <w:sz w:val="18"/>
                <w:szCs w:val="18"/>
              </w:rPr>
            </w:pPr>
            <w:r>
              <w:rPr>
                <w:rFonts w:ascii="宋体" w:hAnsi="宋体"/>
                <w:sz w:val="18"/>
                <w:szCs w:val="18"/>
                <w:lang w:bidi="ar"/>
              </w:rPr>
              <w:t xml:space="preserve">8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11D7AE9">
            <w:pPr>
              <w:widowControl/>
              <w:jc w:val="center"/>
              <w:rPr>
                <w:rFonts w:ascii="宋体" w:hAnsi="宋体"/>
                <w:sz w:val="18"/>
                <w:szCs w:val="18"/>
              </w:rPr>
            </w:pPr>
            <w:r>
              <w:rPr>
                <w:rFonts w:ascii="宋体" w:hAnsi="宋体"/>
                <w:sz w:val="18"/>
                <w:szCs w:val="18"/>
                <w:lang w:bidi="ar"/>
              </w:rPr>
              <w:t>文化</w:t>
            </w:r>
          </w:p>
          <w:p w14:paraId="773EDCCD">
            <w:pPr>
              <w:widowControl/>
              <w:jc w:val="center"/>
              <w:rPr>
                <w:rFonts w:ascii="宋体" w:hAnsi="宋体"/>
                <w:sz w:val="18"/>
                <w:szCs w:val="18"/>
              </w:rPr>
            </w:pPr>
            <w:r>
              <w:rPr>
                <w:rFonts w:ascii="宋体" w:hAnsi="宋体"/>
                <w:sz w:val="18"/>
                <w:szCs w:val="18"/>
                <w:lang w:bidi="ar"/>
              </w:rPr>
              <w:t>娱乐</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0504B25">
            <w:pPr>
              <w:widowControl/>
              <w:jc w:val="center"/>
              <w:rPr>
                <w:rFonts w:ascii="宋体" w:hAnsi="宋体"/>
                <w:sz w:val="18"/>
                <w:szCs w:val="18"/>
              </w:rPr>
            </w:pPr>
            <w:r>
              <w:rPr>
                <w:rFonts w:ascii="宋体" w:hAnsi="宋体"/>
                <w:sz w:val="18"/>
                <w:szCs w:val="18"/>
                <w:lang w:bidi="ar"/>
              </w:rPr>
              <w:t>电影院</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055E143">
            <w:pPr>
              <w:widowControl/>
              <w:jc w:val="center"/>
              <w:rPr>
                <w:rFonts w:ascii="宋体" w:hAnsi="宋体"/>
                <w:sz w:val="18"/>
                <w:szCs w:val="18"/>
              </w:rPr>
            </w:pPr>
            <w:r>
              <w:rPr>
                <w:rFonts w:ascii="宋体" w:hAnsi="宋体"/>
                <w:sz w:val="18"/>
                <w:szCs w:val="18"/>
                <w:lang w:bidi="ar"/>
              </w:rPr>
              <w:t>停车位/每百座</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44D5E43">
            <w:pPr>
              <w:widowControl/>
              <w:jc w:val="center"/>
              <w:textAlignment w:val="center"/>
              <w:rPr>
                <w:rFonts w:ascii="宋体" w:hAnsi="宋体"/>
                <w:sz w:val="18"/>
                <w:szCs w:val="18"/>
              </w:rPr>
            </w:pPr>
            <w:r>
              <w:rPr>
                <w:rFonts w:ascii="宋体" w:hAnsi="宋体"/>
                <w:sz w:val="18"/>
                <w:szCs w:val="18"/>
                <w:lang w:bidi="ar"/>
              </w:rPr>
              <w:t>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51441EF">
            <w:pPr>
              <w:widowControl/>
              <w:jc w:val="center"/>
              <w:textAlignment w:val="center"/>
              <w:rPr>
                <w:rFonts w:ascii="宋体" w:hAnsi="宋体"/>
                <w:sz w:val="18"/>
                <w:szCs w:val="18"/>
              </w:rPr>
            </w:pPr>
            <w:r>
              <w:rPr>
                <w:rFonts w:ascii="宋体" w:hAnsi="宋体"/>
                <w:sz w:val="18"/>
                <w:szCs w:val="18"/>
                <w:lang w:bidi="ar"/>
              </w:rPr>
              <w:t>8</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C2ADAD8">
            <w:pPr>
              <w:widowControl/>
              <w:jc w:val="center"/>
              <w:rPr>
                <w:rFonts w:ascii="宋体" w:hAnsi="宋体"/>
                <w:sz w:val="18"/>
                <w:szCs w:val="18"/>
              </w:rPr>
            </w:pPr>
            <w:r>
              <w:rPr>
                <w:rFonts w:ascii="宋体" w:hAnsi="宋体"/>
                <w:sz w:val="18"/>
                <w:szCs w:val="18"/>
                <w:lang w:bidi="ar"/>
              </w:rPr>
              <w:t xml:space="preserve">  </w:t>
            </w:r>
          </w:p>
        </w:tc>
      </w:tr>
      <w:tr w14:paraId="123C5ACD">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2457581">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4A66355">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FE83548">
            <w:pPr>
              <w:widowControl/>
              <w:jc w:val="center"/>
              <w:rPr>
                <w:rFonts w:ascii="宋体" w:hAnsi="宋体"/>
                <w:sz w:val="18"/>
                <w:szCs w:val="18"/>
              </w:rPr>
            </w:pPr>
            <w:r>
              <w:rPr>
                <w:rFonts w:ascii="宋体" w:hAnsi="宋体"/>
                <w:sz w:val="18"/>
                <w:szCs w:val="18"/>
                <w:lang w:bidi="ar"/>
              </w:rPr>
              <w:t>剧院</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C7BDDB5">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4DE4372">
            <w:pPr>
              <w:widowControl/>
              <w:jc w:val="center"/>
              <w:textAlignment w:val="center"/>
              <w:rPr>
                <w:rFonts w:ascii="宋体" w:hAnsi="宋体"/>
                <w:sz w:val="18"/>
                <w:szCs w:val="18"/>
              </w:rPr>
            </w:pPr>
            <w:r>
              <w:rPr>
                <w:rFonts w:ascii="宋体" w:hAnsi="宋体"/>
                <w:sz w:val="18"/>
                <w:szCs w:val="18"/>
                <w:lang w:bidi="ar"/>
              </w:rPr>
              <w:t>10</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199B928">
            <w:pPr>
              <w:widowControl/>
              <w:jc w:val="center"/>
              <w:textAlignment w:val="center"/>
              <w:rPr>
                <w:rFonts w:ascii="宋体" w:hAnsi="宋体"/>
                <w:sz w:val="18"/>
                <w:szCs w:val="18"/>
              </w:rPr>
            </w:pPr>
            <w:r>
              <w:rPr>
                <w:rFonts w:ascii="宋体" w:hAnsi="宋体"/>
                <w:sz w:val="18"/>
                <w:szCs w:val="18"/>
                <w:lang w:bidi="ar"/>
              </w:rPr>
              <w:t>10</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A7E2C02">
            <w:pPr>
              <w:widowControl/>
              <w:jc w:val="center"/>
              <w:rPr>
                <w:rFonts w:ascii="宋体" w:hAnsi="宋体"/>
                <w:sz w:val="18"/>
                <w:szCs w:val="18"/>
              </w:rPr>
            </w:pPr>
          </w:p>
        </w:tc>
      </w:tr>
      <w:tr w14:paraId="491E223A">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B5C7E0A">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0D4F2CB">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B74B7F6">
            <w:pPr>
              <w:widowControl/>
              <w:jc w:val="center"/>
              <w:textAlignment w:val="center"/>
              <w:rPr>
                <w:rFonts w:ascii="宋体" w:hAnsi="宋体"/>
                <w:sz w:val="18"/>
                <w:szCs w:val="18"/>
              </w:rPr>
            </w:pPr>
            <w:r>
              <w:rPr>
                <w:rFonts w:ascii="宋体" w:hAnsi="宋体"/>
                <w:sz w:val="18"/>
                <w:szCs w:val="18"/>
                <w:lang w:bidi="ar"/>
              </w:rPr>
              <w:t>博物馆、图书馆</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FC4AF4D">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C53D5A1">
            <w:pPr>
              <w:widowControl/>
              <w:jc w:val="center"/>
              <w:textAlignment w:val="center"/>
              <w:rPr>
                <w:rFonts w:ascii="宋体" w:hAnsi="宋体"/>
                <w:sz w:val="18"/>
                <w:szCs w:val="18"/>
              </w:rPr>
            </w:pPr>
            <w:r>
              <w:rPr>
                <w:rFonts w:ascii="宋体" w:hAnsi="宋体"/>
                <w:sz w:val="18"/>
                <w:szCs w:val="18"/>
                <w:lang w:bidi="ar"/>
              </w:rPr>
              <w:t>0.8</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D95A7B3">
            <w:pPr>
              <w:widowControl/>
              <w:jc w:val="center"/>
              <w:textAlignment w:val="center"/>
              <w:rPr>
                <w:rFonts w:ascii="宋体" w:hAnsi="宋体"/>
                <w:sz w:val="18"/>
                <w:szCs w:val="18"/>
              </w:rPr>
            </w:pPr>
            <w:r>
              <w:rPr>
                <w:rFonts w:ascii="宋体" w:hAnsi="宋体"/>
                <w:sz w:val="18"/>
                <w:szCs w:val="18"/>
                <w:lang w:bidi="ar"/>
              </w:rPr>
              <w:t>2</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6242A65">
            <w:pPr>
              <w:widowControl/>
              <w:jc w:val="center"/>
              <w:textAlignment w:val="center"/>
              <w:rPr>
                <w:rFonts w:ascii="宋体" w:hAnsi="宋体"/>
                <w:sz w:val="18"/>
                <w:szCs w:val="18"/>
              </w:rPr>
            </w:pPr>
            <w:r>
              <w:rPr>
                <w:rFonts w:ascii="宋体" w:hAnsi="宋体"/>
                <w:sz w:val="18"/>
                <w:szCs w:val="18"/>
                <w:lang w:bidi="ar"/>
              </w:rPr>
              <w:t xml:space="preserve">  </w:t>
            </w:r>
          </w:p>
        </w:tc>
      </w:tr>
      <w:tr w14:paraId="56351E5B">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4F72426">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C134462">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CBA8D69">
            <w:pPr>
              <w:widowControl/>
              <w:jc w:val="center"/>
              <w:textAlignment w:val="center"/>
              <w:rPr>
                <w:rFonts w:ascii="宋体" w:hAnsi="宋体"/>
                <w:sz w:val="18"/>
                <w:szCs w:val="18"/>
              </w:rPr>
            </w:pPr>
            <w:r>
              <w:rPr>
                <w:rFonts w:ascii="宋体" w:hAnsi="宋体"/>
                <w:sz w:val="18"/>
                <w:szCs w:val="18"/>
                <w:lang w:bidi="ar"/>
              </w:rPr>
              <w:t>展览馆</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B724205">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BE35ED4">
            <w:pPr>
              <w:widowControl/>
              <w:jc w:val="center"/>
              <w:textAlignment w:val="center"/>
              <w:rPr>
                <w:rFonts w:ascii="宋体" w:hAnsi="宋体"/>
                <w:sz w:val="18"/>
                <w:szCs w:val="18"/>
              </w:rPr>
            </w:pPr>
            <w:r>
              <w:rPr>
                <w:rFonts w:ascii="宋体" w:hAnsi="宋体"/>
                <w:sz w:val="18"/>
                <w:szCs w:val="18"/>
                <w:lang w:bidi="ar"/>
              </w:rPr>
              <w:t>0.8</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9FF90E4">
            <w:pPr>
              <w:widowControl/>
              <w:jc w:val="center"/>
              <w:textAlignment w:val="center"/>
              <w:rPr>
                <w:rFonts w:ascii="宋体" w:hAnsi="宋体"/>
                <w:sz w:val="18"/>
                <w:szCs w:val="18"/>
              </w:rPr>
            </w:pPr>
            <w:r>
              <w:rPr>
                <w:rFonts w:ascii="宋体" w:hAnsi="宋体"/>
                <w:sz w:val="18"/>
                <w:szCs w:val="18"/>
                <w:lang w:bidi="ar"/>
              </w:rPr>
              <w:t>1.5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AAC17DD">
            <w:pPr>
              <w:widowControl/>
              <w:jc w:val="center"/>
              <w:textAlignment w:val="center"/>
              <w:rPr>
                <w:rFonts w:ascii="宋体" w:hAnsi="宋体"/>
                <w:sz w:val="18"/>
                <w:szCs w:val="18"/>
              </w:rPr>
            </w:pPr>
          </w:p>
        </w:tc>
      </w:tr>
      <w:tr w14:paraId="140E3CA6">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1D5091F">
            <w:pPr>
              <w:widowControl/>
              <w:jc w:val="center"/>
              <w:rPr>
                <w:rFonts w:ascii="宋体" w:hAnsi="宋体"/>
                <w:sz w:val="18"/>
                <w:szCs w:val="18"/>
              </w:rPr>
            </w:pPr>
            <w:r>
              <w:rPr>
                <w:rFonts w:ascii="宋体" w:hAnsi="宋体"/>
                <w:sz w:val="18"/>
                <w:szCs w:val="18"/>
                <w:lang w:bidi="ar"/>
              </w:rPr>
              <w:t xml:space="preserve">9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5E22C02">
            <w:pPr>
              <w:widowControl/>
              <w:jc w:val="center"/>
              <w:rPr>
                <w:rFonts w:ascii="宋体" w:hAnsi="宋体"/>
                <w:sz w:val="18"/>
                <w:szCs w:val="18"/>
              </w:rPr>
            </w:pPr>
            <w:r>
              <w:rPr>
                <w:rFonts w:ascii="宋体" w:hAnsi="宋体"/>
                <w:sz w:val="18"/>
                <w:szCs w:val="18"/>
                <w:lang w:bidi="ar"/>
              </w:rPr>
              <w:t>公园</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6C42250">
            <w:pPr>
              <w:widowControl/>
              <w:jc w:val="center"/>
              <w:rPr>
                <w:rFonts w:ascii="宋体" w:hAnsi="宋体"/>
                <w:sz w:val="18"/>
                <w:szCs w:val="18"/>
              </w:rPr>
            </w:pPr>
            <w:r>
              <w:rPr>
                <w:rFonts w:ascii="宋体" w:hAnsi="宋体"/>
                <w:sz w:val="18"/>
                <w:szCs w:val="18"/>
                <w:lang w:bidi="ar"/>
              </w:rPr>
              <w:t>综合公园</w:t>
            </w:r>
          </w:p>
          <w:p w14:paraId="2A5C5535">
            <w:pPr>
              <w:widowControl/>
              <w:jc w:val="center"/>
              <w:rPr>
                <w:rFonts w:ascii="宋体" w:hAnsi="宋体"/>
                <w:sz w:val="18"/>
                <w:szCs w:val="18"/>
              </w:rPr>
            </w:pPr>
            <w:r>
              <w:rPr>
                <w:rFonts w:ascii="宋体" w:hAnsi="宋体"/>
                <w:sz w:val="18"/>
                <w:szCs w:val="18"/>
                <w:lang w:bidi="ar"/>
              </w:rPr>
              <w:t>主题公园</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8774F2E">
            <w:pPr>
              <w:widowControl/>
              <w:jc w:val="center"/>
              <w:rPr>
                <w:rFonts w:ascii="宋体" w:hAnsi="宋体"/>
                <w:sz w:val="18"/>
                <w:szCs w:val="18"/>
              </w:rPr>
            </w:pPr>
            <w:r>
              <w:rPr>
                <w:rFonts w:ascii="宋体" w:hAnsi="宋体"/>
                <w:sz w:val="18"/>
                <w:szCs w:val="18"/>
                <w:lang w:bidi="ar"/>
              </w:rPr>
              <w:t>停车位/10000㎡占地面积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1739E02">
            <w:pPr>
              <w:widowControl/>
              <w:jc w:val="center"/>
              <w:textAlignment w:val="center"/>
              <w:rPr>
                <w:rFonts w:ascii="宋体" w:hAnsi="宋体"/>
                <w:sz w:val="18"/>
                <w:szCs w:val="18"/>
              </w:rPr>
            </w:pPr>
            <w:r>
              <w:rPr>
                <w:rFonts w:ascii="宋体" w:hAnsi="宋体"/>
                <w:sz w:val="18"/>
                <w:szCs w:val="18"/>
                <w:lang w:bidi="ar"/>
              </w:rPr>
              <w:t>15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D8CC95E">
            <w:pPr>
              <w:widowControl/>
              <w:jc w:val="center"/>
              <w:textAlignment w:val="center"/>
              <w:rPr>
                <w:rFonts w:ascii="宋体" w:hAnsi="宋体"/>
                <w:sz w:val="18"/>
                <w:szCs w:val="18"/>
              </w:rPr>
            </w:pPr>
            <w:r>
              <w:rPr>
                <w:rFonts w:ascii="宋体" w:hAnsi="宋体"/>
                <w:sz w:val="18"/>
                <w:szCs w:val="18"/>
                <w:lang w:bidi="ar"/>
              </w:rPr>
              <w:t>3</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93B08AD">
            <w:pPr>
              <w:widowControl/>
              <w:rPr>
                <w:rFonts w:ascii="宋体" w:hAnsi="宋体"/>
                <w:sz w:val="18"/>
                <w:szCs w:val="18"/>
              </w:rPr>
            </w:pPr>
          </w:p>
        </w:tc>
      </w:tr>
      <w:tr w14:paraId="6FC4140B">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EB7143A">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94CC46B">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00DB5AA">
            <w:pPr>
              <w:widowControl/>
              <w:jc w:val="center"/>
              <w:textAlignment w:val="center"/>
              <w:rPr>
                <w:rFonts w:ascii="宋体" w:hAnsi="宋体"/>
                <w:sz w:val="18"/>
                <w:szCs w:val="18"/>
              </w:rPr>
            </w:pPr>
            <w:r>
              <w:rPr>
                <w:rFonts w:ascii="宋体" w:hAnsi="宋体"/>
                <w:sz w:val="18"/>
                <w:szCs w:val="18"/>
                <w:lang w:bidi="ar"/>
              </w:rPr>
              <w:t>一般性公园</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9FD99FD">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BE13287">
            <w:pPr>
              <w:widowControl/>
              <w:jc w:val="center"/>
              <w:textAlignment w:val="center"/>
              <w:rPr>
                <w:rFonts w:ascii="宋体" w:hAnsi="宋体"/>
                <w:sz w:val="18"/>
                <w:szCs w:val="18"/>
              </w:rPr>
            </w:pPr>
            <w:r>
              <w:rPr>
                <w:rFonts w:ascii="宋体" w:hAnsi="宋体"/>
                <w:sz w:val="18"/>
                <w:szCs w:val="18"/>
                <w:lang w:bidi="ar"/>
              </w:rPr>
              <w:t>6</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6C032F2">
            <w:pPr>
              <w:widowControl/>
              <w:jc w:val="center"/>
              <w:textAlignment w:val="center"/>
              <w:rPr>
                <w:rFonts w:ascii="宋体" w:hAnsi="宋体"/>
                <w:sz w:val="18"/>
                <w:szCs w:val="18"/>
              </w:rPr>
            </w:pPr>
            <w:r>
              <w:rPr>
                <w:rFonts w:ascii="宋体" w:hAnsi="宋体"/>
                <w:sz w:val="18"/>
                <w:szCs w:val="18"/>
                <w:lang w:bidi="ar"/>
              </w:rPr>
              <w:t>15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FD67271">
            <w:pPr>
              <w:widowControl/>
              <w:jc w:val="center"/>
              <w:textAlignment w:val="center"/>
              <w:rPr>
                <w:rFonts w:ascii="宋体" w:hAnsi="宋体"/>
                <w:sz w:val="18"/>
                <w:szCs w:val="18"/>
              </w:rPr>
            </w:pPr>
            <w:r>
              <w:rPr>
                <w:rFonts w:ascii="宋体" w:hAnsi="宋体"/>
                <w:sz w:val="18"/>
                <w:szCs w:val="18"/>
                <w:lang w:bidi="ar"/>
              </w:rPr>
              <w:t xml:space="preserve">  </w:t>
            </w:r>
          </w:p>
        </w:tc>
      </w:tr>
      <w:tr w14:paraId="25C9D2A6">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B3612B2">
            <w:pPr>
              <w:widowControl/>
              <w:jc w:val="center"/>
              <w:rPr>
                <w:rFonts w:ascii="宋体" w:hAnsi="宋体"/>
                <w:sz w:val="18"/>
                <w:szCs w:val="18"/>
              </w:rPr>
            </w:pPr>
            <w:r>
              <w:rPr>
                <w:rFonts w:ascii="宋体" w:hAnsi="宋体"/>
                <w:sz w:val="18"/>
                <w:szCs w:val="18"/>
                <w:lang w:bidi="ar"/>
              </w:rPr>
              <w:t xml:space="preserve">10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A182415">
            <w:pPr>
              <w:widowControl/>
              <w:jc w:val="center"/>
              <w:rPr>
                <w:rFonts w:ascii="宋体" w:hAnsi="宋体"/>
                <w:sz w:val="18"/>
                <w:szCs w:val="18"/>
              </w:rPr>
            </w:pPr>
            <w:r>
              <w:rPr>
                <w:rFonts w:ascii="宋体" w:hAnsi="宋体"/>
                <w:sz w:val="18"/>
                <w:szCs w:val="18"/>
                <w:lang w:bidi="ar"/>
              </w:rPr>
              <w:t>交通</w:t>
            </w:r>
          </w:p>
          <w:p w14:paraId="2DCCE9AD">
            <w:pPr>
              <w:widowControl/>
              <w:jc w:val="center"/>
              <w:rPr>
                <w:rFonts w:ascii="宋体" w:hAnsi="宋体"/>
                <w:sz w:val="18"/>
                <w:szCs w:val="18"/>
              </w:rPr>
            </w:pPr>
            <w:r>
              <w:rPr>
                <w:rFonts w:ascii="宋体" w:hAnsi="宋体"/>
                <w:sz w:val="18"/>
                <w:szCs w:val="18"/>
                <w:lang w:bidi="ar"/>
              </w:rPr>
              <w:t>站场</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692B71A">
            <w:pPr>
              <w:widowControl/>
              <w:jc w:val="center"/>
              <w:rPr>
                <w:rFonts w:ascii="宋体" w:hAnsi="宋体"/>
                <w:sz w:val="18"/>
                <w:szCs w:val="18"/>
              </w:rPr>
            </w:pPr>
            <w:r>
              <w:rPr>
                <w:rFonts w:ascii="宋体" w:hAnsi="宋体"/>
                <w:sz w:val="18"/>
                <w:szCs w:val="18"/>
                <w:lang w:bidi="ar"/>
              </w:rPr>
              <w:t>火车站</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C61FB79">
            <w:pPr>
              <w:widowControl/>
              <w:jc w:val="center"/>
              <w:rPr>
                <w:rFonts w:ascii="宋体" w:hAnsi="宋体"/>
                <w:sz w:val="18"/>
                <w:szCs w:val="18"/>
              </w:rPr>
            </w:pPr>
            <w:r>
              <w:rPr>
                <w:rFonts w:ascii="宋体" w:hAnsi="宋体"/>
                <w:sz w:val="18"/>
                <w:szCs w:val="18"/>
                <w:lang w:bidi="ar"/>
              </w:rPr>
              <w:t>停车位/高峰日每百旅客</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48A994B">
            <w:pPr>
              <w:widowControl/>
              <w:jc w:val="center"/>
              <w:textAlignment w:val="center"/>
              <w:rPr>
                <w:rFonts w:ascii="宋体" w:hAnsi="宋体"/>
                <w:sz w:val="18"/>
                <w:szCs w:val="18"/>
              </w:rPr>
            </w:pPr>
            <w:r>
              <w:rPr>
                <w:rFonts w:ascii="宋体" w:hAnsi="宋体"/>
                <w:sz w:val="18"/>
                <w:szCs w:val="18"/>
                <w:lang w:bidi="ar"/>
              </w:rPr>
              <w:t>4</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819EFA2">
            <w:pPr>
              <w:widowControl/>
              <w:jc w:val="center"/>
              <w:textAlignment w:val="center"/>
              <w:rPr>
                <w:rFonts w:ascii="宋体" w:hAnsi="宋体"/>
                <w:sz w:val="18"/>
                <w:szCs w:val="18"/>
              </w:rPr>
            </w:pPr>
            <w:r>
              <w:rPr>
                <w:rFonts w:ascii="宋体" w:hAnsi="宋体"/>
                <w:sz w:val="18"/>
                <w:szCs w:val="18"/>
                <w:lang w:bidi="ar"/>
              </w:rPr>
              <w:t>2</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A1382A1">
            <w:pPr>
              <w:widowControl/>
              <w:jc w:val="center"/>
              <w:rPr>
                <w:rFonts w:ascii="宋体" w:hAnsi="宋体"/>
                <w:sz w:val="18"/>
                <w:szCs w:val="18"/>
              </w:rPr>
            </w:pPr>
            <w:r>
              <w:rPr>
                <w:rFonts w:ascii="宋体" w:hAnsi="宋体"/>
                <w:sz w:val="18"/>
                <w:szCs w:val="18"/>
                <w:lang w:bidi="ar"/>
              </w:rPr>
              <w:t xml:space="preserve">  </w:t>
            </w:r>
          </w:p>
        </w:tc>
      </w:tr>
      <w:tr w14:paraId="54EE68E2">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7353335">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A067932">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82101B5">
            <w:pPr>
              <w:widowControl/>
              <w:jc w:val="center"/>
              <w:textAlignment w:val="center"/>
              <w:rPr>
                <w:rFonts w:ascii="宋体" w:hAnsi="宋体"/>
                <w:sz w:val="18"/>
                <w:szCs w:val="18"/>
              </w:rPr>
            </w:pPr>
            <w:r>
              <w:rPr>
                <w:rFonts w:ascii="宋体" w:hAnsi="宋体"/>
                <w:sz w:val="18"/>
                <w:szCs w:val="18"/>
                <w:lang w:bidi="ar"/>
              </w:rPr>
              <w:t>汽车站</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BEF5035">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FB56625">
            <w:pPr>
              <w:widowControl/>
              <w:jc w:val="center"/>
              <w:textAlignment w:val="center"/>
              <w:rPr>
                <w:rFonts w:ascii="宋体" w:hAnsi="宋体"/>
                <w:sz w:val="18"/>
                <w:szCs w:val="18"/>
              </w:rPr>
            </w:pPr>
            <w:r>
              <w:rPr>
                <w:rFonts w:ascii="宋体" w:hAnsi="宋体"/>
                <w:sz w:val="18"/>
                <w:szCs w:val="18"/>
                <w:lang w:bidi="ar"/>
              </w:rPr>
              <w:t>3</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BA53BE4">
            <w:pPr>
              <w:widowControl/>
              <w:jc w:val="center"/>
              <w:textAlignment w:val="center"/>
              <w:rPr>
                <w:rFonts w:ascii="宋体" w:hAnsi="宋体"/>
                <w:sz w:val="18"/>
                <w:szCs w:val="18"/>
              </w:rPr>
            </w:pPr>
            <w:r>
              <w:rPr>
                <w:rFonts w:ascii="宋体" w:hAnsi="宋体"/>
                <w:sz w:val="18"/>
                <w:szCs w:val="18"/>
                <w:lang w:bidi="ar"/>
              </w:rPr>
              <w:t>2.5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7B40461">
            <w:pPr>
              <w:widowControl/>
              <w:jc w:val="center"/>
              <w:textAlignment w:val="center"/>
              <w:rPr>
                <w:rFonts w:ascii="宋体" w:hAnsi="宋体"/>
                <w:sz w:val="18"/>
                <w:szCs w:val="18"/>
              </w:rPr>
            </w:pPr>
            <w:r>
              <w:rPr>
                <w:rFonts w:ascii="宋体" w:hAnsi="宋体"/>
                <w:sz w:val="18"/>
                <w:szCs w:val="18"/>
                <w:lang w:bidi="ar"/>
              </w:rPr>
              <w:t xml:space="preserve">  </w:t>
            </w:r>
          </w:p>
        </w:tc>
      </w:tr>
      <w:tr w14:paraId="0BDC4D07">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6B9D92C">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83938D6">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20BE6B4">
            <w:pPr>
              <w:widowControl/>
              <w:jc w:val="center"/>
              <w:textAlignment w:val="center"/>
              <w:rPr>
                <w:rFonts w:ascii="宋体" w:hAnsi="宋体"/>
                <w:sz w:val="18"/>
                <w:szCs w:val="18"/>
              </w:rPr>
            </w:pPr>
            <w:r>
              <w:rPr>
                <w:rFonts w:ascii="宋体" w:hAnsi="宋体"/>
                <w:sz w:val="18"/>
                <w:szCs w:val="18"/>
                <w:lang w:bidi="ar"/>
              </w:rPr>
              <w:t>客运码头</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56597BE">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A533A55">
            <w:pPr>
              <w:widowControl/>
              <w:jc w:val="center"/>
              <w:textAlignment w:val="center"/>
              <w:rPr>
                <w:rFonts w:ascii="宋体" w:hAnsi="宋体"/>
                <w:sz w:val="18"/>
                <w:szCs w:val="18"/>
              </w:rPr>
            </w:pPr>
            <w:r>
              <w:rPr>
                <w:rFonts w:ascii="宋体" w:hAnsi="宋体"/>
                <w:sz w:val="18"/>
                <w:szCs w:val="18"/>
                <w:lang w:bidi="ar"/>
              </w:rPr>
              <w:t>2.5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976F5B6">
            <w:pPr>
              <w:widowControl/>
              <w:jc w:val="center"/>
              <w:textAlignment w:val="center"/>
              <w:rPr>
                <w:rFonts w:ascii="宋体" w:hAnsi="宋体"/>
                <w:sz w:val="18"/>
                <w:szCs w:val="18"/>
              </w:rPr>
            </w:pPr>
            <w:r>
              <w:rPr>
                <w:rFonts w:ascii="宋体" w:hAnsi="宋体"/>
                <w:sz w:val="18"/>
                <w:szCs w:val="18"/>
                <w:lang w:bidi="ar"/>
              </w:rPr>
              <w:t xml:space="preserve">1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164660F">
            <w:pPr>
              <w:widowControl/>
              <w:jc w:val="center"/>
              <w:textAlignment w:val="center"/>
              <w:rPr>
                <w:rFonts w:ascii="宋体" w:hAnsi="宋体"/>
                <w:sz w:val="18"/>
                <w:szCs w:val="18"/>
              </w:rPr>
            </w:pPr>
            <w:r>
              <w:rPr>
                <w:rFonts w:ascii="宋体" w:hAnsi="宋体"/>
                <w:sz w:val="18"/>
                <w:szCs w:val="18"/>
                <w:lang w:bidi="ar"/>
              </w:rPr>
              <w:t xml:space="preserve">  </w:t>
            </w:r>
          </w:p>
        </w:tc>
      </w:tr>
      <w:tr w14:paraId="580BE4B1">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61D3AAE">
            <w:pPr>
              <w:widowControl/>
              <w:jc w:val="center"/>
              <w:rPr>
                <w:rFonts w:ascii="宋体" w:hAnsi="宋体"/>
                <w:sz w:val="18"/>
                <w:szCs w:val="18"/>
              </w:rPr>
            </w:pPr>
            <w:r>
              <w:rPr>
                <w:rFonts w:ascii="宋体" w:hAnsi="宋体"/>
                <w:sz w:val="18"/>
                <w:szCs w:val="18"/>
                <w:lang w:bidi="ar"/>
              </w:rPr>
              <w:t xml:space="preserve">11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9EC4A60">
            <w:pPr>
              <w:widowControl/>
              <w:jc w:val="center"/>
              <w:rPr>
                <w:rFonts w:ascii="宋体" w:hAnsi="宋体"/>
                <w:sz w:val="18"/>
                <w:szCs w:val="18"/>
              </w:rPr>
            </w:pPr>
            <w:r>
              <w:rPr>
                <w:rFonts w:ascii="宋体" w:hAnsi="宋体"/>
                <w:sz w:val="18"/>
                <w:szCs w:val="18"/>
                <w:lang w:bidi="ar"/>
              </w:rPr>
              <w:t>教育</w:t>
            </w:r>
          </w:p>
          <w:p w14:paraId="32555AE5">
            <w:pPr>
              <w:widowControl/>
              <w:jc w:val="center"/>
              <w:rPr>
                <w:rFonts w:ascii="宋体" w:hAnsi="宋体"/>
                <w:sz w:val="18"/>
                <w:szCs w:val="18"/>
              </w:rPr>
            </w:pPr>
            <w:r>
              <w:rPr>
                <w:rFonts w:ascii="宋体" w:hAnsi="宋体"/>
                <w:sz w:val="18"/>
                <w:szCs w:val="18"/>
                <w:lang w:bidi="ar"/>
              </w:rPr>
              <w:t>培训</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35F0F9B">
            <w:pPr>
              <w:widowControl/>
              <w:jc w:val="center"/>
              <w:rPr>
                <w:rFonts w:ascii="宋体" w:hAnsi="宋体"/>
                <w:sz w:val="18"/>
                <w:szCs w:val="18"/>
              </w:rPr>
            </w:pPr>
            <w:r>
              <w:rPr>
                <w:rFonts w:ascii="宋体" w:hAnsi="宋体"/>
                <w:sz w:val="18"/>
                <w:szCs w:val="18"/>
                <w:lang w:bidi="ar"/>
              </w:rPr>
              <w:t>幼儿园</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0EA4858">
            <w:pPr>
              <w:widowControl/>
              <w:jc w:val="center"/>
              <w:rPr>
                <w:rFonts w:ascii="宋体" w:hAnsi="宋体"/>
                <w:sz w:val="18"/>
                <w:szCs w:val="18"/>
              </w:rPr>
            </w:pPr>
            <w:r>
              <w:rPr>
                <w:rFonts w:ascii="宋体" w:hAnsi="宋体"/>
                <w:sz w:val="18"/>
                <w:szCs w:val="18"/>
                <w:lang w:bidi="ar"/>
              </w:rPr>
              <w:t>停车位/每班</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D88F556">
            <w:pPr>
              <w:widowControl/>
              <w:jc w:val="center"/>
              <w:textAlignment w:val="center"/>
              <w:rPr>
                <w:rFonts w:ascii="宋体" w:hAnsi="宋体"/>
                <w:sz w:val="18"/>
                <w:szCs w:val="18"/>
              </w:rPr>
            </w:pPr>
            <w:r>
              <w:rPr>
                <w:rFonts w:ascii="宋体" w:hAnsi="宋体"/>
                <w:sz w:val="18"/>
                <w:szCs w:val="18"/>
                <w:lang w:bidi="ar"/>
              </w:rPr>
              <w:t>4</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FD2E404">
            <w:pPr>
              <w:widowControl/>
              <w:jc w:val="center"/>
              <w:textAlignment w:val="center"/>
              <w:rPr>
                <w:rFonts w:ascii="宋体" w:hAnsi="宋体"/>
                <w:sz w:val="18"/>
                <w:szCs w:val="18"/>
              </w:rPr>
            </w:pPr>
            <w:r>
              <w:rPr>
                <w:rFonts w:ascii="宋体" w:hAnsi="宋体"/>
                <w:sz w:val="18"/>
                <w:szCs w:val="18"/>
                <w:lang w:bidi="ar"/>
              </w:rPr>
              <w:t xml:space="preserve">/ </w:t>
            </w:r>
          </w:p>
        </w:tc>
        <w:tc>
          <w:tcPr>
            <w:tcW w:w="2332"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985C698">
            <w:pPr>
              <w:widowControl/>
              <w:jc w:val="center"/>
              <w:rPr>
                <w:rFonts w:hint="eastAsia" w:ascii="宋体" w:hAnsi="宋体"/>
                <w:sz w:val="18"/>
                <w:szCs w:val="18"/>
                <w:lang w:bidi="ar"/>
              </w:rPr>
            </w:pPr>
            <w:r>
              <w:rPr>
                <w:rFonts w:ascii="宋体" w:hAnsi="宋体"/>
                <w:sz w:val="18"/>
                <w:szCs w:val="18"/>
                <w:lang w:bidi="ar"/>
              </w:rPr>
              <w:t>校址范围内至少</w:t>
            </w:r>
          </w:p>
          <w:p w14:paraId="45A59C99">
            <w:pPr>
              <w:widowControl/>
              <w:jc w:val="center"/>
              <w:rPr>
                <w:rFonts w:ascii="宋体" w:hAnsi="宋体"/>
                <w:sz w:val="18"/>
                <w:szCs w:val="18"/>
              </w:rPr>
            </w:pPr>
            <w:r>
              <w:rPr>
                <w:rFonts w:ascii="宋体" w:hAnsi="宋体"/>
                <w:sz w:val="18"/>
                <w:szCs w:val="18"/>
                <w:lang w:bidi="ar"/>
              </w:rPr>
              <w:t>设2个校车停车位</w:t>
            </w:r>
          </w:p>
        </w:tc>
      </w:tr>
      <w:tr w14:paraId="61CB5372">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A6806EF">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0E88155">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52D1885">
            <w:pPr>
              <w:widowControl/>
              <w:jc w:val="center"/>
              <w:textAlignment w:val="center"/>
              <w:rPr>
                <w:rFonts w:ascii="宋体" w:hAnsi="宋体"/>
                <w:sz w:val="18"/>
                <w:szCs w:val="18"/>
              </w:rPr>
            </w:pPr>
            <w:r>
              <w:rPr>
                <w:rFonts w:ascii="宋体" w:hAnsi="宋体"/>
                <w:sz w:val="18"/>
                <w:szCs w:val="18"/>
                <w:lang w:bidi="ar"/>
              </w:rPr>
              <w:t>小学</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6E66BD93">
            <w:pPr>
              <w:widowControl/>
              <w:jc w:val="center"/>
              <w:rPr>
                <w:rFonts w:ascii="宋体" w:hAnsi="宋体"/>
                <w:sz w:val="18"/>
                <w:szCs w:val="18"/>
              </w:rPr>
            </w:pPr>
            <w:r>
              <w:rPr>
                <w:rFonts w:ascii="宋体" w:hAnsi="宋体"/>
                <w:sz w:val="18"/>
                <w:szCs w:val="18"/>
                <w:lang w:bidi="ar"/>
              </w:rPr>
              <w:t>停车位/每班</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05A9E61">
            <w:pPr>
              <w:widowControl/>
              <w:jc w:val="center"/>
              <w:textAlignment w:val="center"/>
              <w:rPr>
                <w:rFonts w:ascii="宋体" w:hAnsi="宋体"/>
                <w:sz w:val="18"/>
                <w:szCs w:val="18"/>
              </w:rPr>
            </w:pPr>
            <w:r>
              <w:rPr>
                <w:rFonts w:ascii="宋体" w:hAnsi="宋体"/>
                <w:sz w:val="18"/>
                <w:szCs w:val="18"/>
                <w:lang w:bidi="ar"/>
              </w:rPr>
              <w:t>10</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88C5EE3">
            <w:pPr>
              <w:widowControl/>
              <w:jc w:val="center"/>
              <w:textAlignment w:val="center"/>
              <w:rPr>
                <w:rFonts w:ascii="宋体" w:hAnsi="宋体"/>
                <w:sz w:val="18"/>
                <w:szCs w:val="18"/>
              </w:rPr>
            </w:pPr>
            <w:r>
              <w:rPr>
                <w:rFonts w:ascii="宋体" w:hAnsi="宋体"/>
                <w:sz w:val="18"/>
                <w:szCs w:val="18"/>
                <w:lang w:bidi="ar"/>
              </w:rPr>
              <w:t xml:space="preserve">30 </w:t>
            </w:r>
          </w:p>
        </w:tc>
        <w:tc>
          <w:tcPr>
            <w:tcW w:w="2332"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22481806">
            <w:pPr>
              <w:rPr>
                <w:rFonts w:ascii="宋体" w:hAnsi="宋体"/>
                <w:sz w:val="20"/>
                <w:szCs w:val="20"/>
              </w:rPr>
            </w:pPr>
          </w:p>
        </w:tc>
      </w:tr>
      <w:tr w14:paraId="43851C9E">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3F01DD7">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40868D69">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33A044D">
            <w:pPr>
              <w:widowControl/>
              <w:jc w:val="center"/>
              <w:textAlignment w:val="center"/>
              <w:rPr>
                <w:rFonts w:ascii="宋体" w:hAnsi="宋体"/>
                <w:sz w:val="18"/>
                <w:szCs w:val="18"/>
              </w:rPr>
            </w:pPr>
            <w:r>
              <w:rPr>
                <w:rFonts w:ascii="宋体" w:hAnsi="宋体"/>
                <w:sz w:val="18"/>
                <w:szCs w:val="18"/>
                <w:lang w:bidi="ar"/>
              </w:rPr>
              <w:t>中学</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2E58A63">
            <w:pPr>
              <w:widowControl/>
              <w:jc w:val="center"/>
              <w:rPr>
                <w:rFonts w:ascii="宋体" w:hAnsi="宋体"/>
                <w:sz w:val="18"/>
                <w:szCs w:val="18"/>
              </w:rPr>
            </w:pPr>
            <w:r>
              <w:rPr>
                <w:rFonts w:ascii="宋体" w:hAnsi="宋体"/>
                <w:sz w:val="18"/>
                <w:szCs w:val="18"/>
                <w:lang w:bidi="ar"/>
              </w:rPr>
              <w:t>停车位/每班</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54FECA3B">
            <w:pPr>
              <w:widowControl/>
              <w:jc w:val="center"/>
              <w:textAlignment w:val="center"/>
              <w:rPr>
                <w:rFonts w:ascii="宋体" w:hAnsi="宋体"/>
                <w:sz w:val="18"/>
                <w:szCs w:val="18"/>
              </w:rPr>
            </w:pPr>
            <w:r>
              <w:rPr>
                <w:rFonts w:ascii="宋体" w:hAnsi="宋体"/>
                <w:sz w:val="18"/>
                <w:szCs w:val="18"/>
                <w:lang w:bidi="ar"/>
              </w:rPr>
              <w:t>6</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84664D8">
            <w:pPr>
              <w:widowControl/>
              <w:jc w:val="center"/>
              <w:textAlignment w:val="center"/>
              <w:rPr>
                <w:rFonts w:ascii="宋体" w:hAnsi="宋体"/>
                <w:sz w:val="18"/>
                <w:szCs w:val="18"/>
              </w:rPr>
            </w:pPr>
            <w:r>
              <w:rPr>
                <w:rFonts w:ascii="宋体" w:hAnsi="宋体"/>
                <w:sz w:val="18"/>
                <w:szCs w:val="18"/>
                <w:lang w:bidi="ar"/>
              </w:rPr>
              <w:t xml:space="preserve">50 </w:t>
            </w:r>
          </w:p>
        </w:tc>
        <w:tc>
          <w:tcPr>
            <w:tcW w:w="2332"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63B6066">
            <w:pPr>
              <w:rPr>
                <w:rFonts w:ascii="宋体" w:hAnsi="宋体"/>
                <w:sz w:val="20"/>
                <w:szCs w:val="20"/>
              </w:rPr>
            </w:pPr>
          </w:p>
        </w:tc>
      </w:tr>
      <w:tr w14:paraId="737E4F51">
        <w:tblPrEx>
          <w:tblCellMar>
            <w:top w:w="0" w:type="dxa"/>
            <w:left w:w="0" w:type="dxa"/>
            <w:bottom w:w="0" w:type="dxa"/>
            <w:right w:w="0" w:type="dxa"/>
          </w:tblCellMar>
        </w:tblPrEx>
        <w:trPr>
          <w:trHeight w:val="340" w:hRule="atLeast"/>
          <w:jc w:val="center"/>
        </w:trPr>
        <w:tc>
          <w:tcPr>
            <w:tcW w:w="439"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1F4DC8FE">
            <w:pPr>
              <w:widowControl/>
              <w:jc w:val="center"/>
              <w:rPr>
                <w:rFonts w:ascii="宋体" w:hAnsi="宋体"/>
                <w:sz w:val="18"/>
                <w:szCs w:val="18"/>
              </w:rPr>
            </w:pPr>
            <w:r>
              <w:rPr>
                <w:rFonts w:ascii="宋体" w:hAnsi="宋体"/>
                <w:sz w:val="18"/>
                <w:szCs w:val="18"/>
                <w:lang w:bidi="ar"/>
              </w:rPr>
              <w:t xml:space="preserve">12 </w:t>
            </w:r>
          </w:p>
        </w:tc>
        <w:tc>
          <w:tcPr>
            <w:tcW w:w="2583" w:type="dxa"/>
            <w:gridSpan w:val="2"/>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1F00C34">
            <w:pPr>
              <w:widowControl/>
              <w:jc w:val="center"/>
              <w:rPr>
                <w:rFonts w:ascii="宋体" w:hAnsi="宋体"/>
                <w:sz w:val="18"/>
                <w:szCs w:val="18"/>
              </w:rPr>
            </w:pPr>
            <w:r>
              <w:rPr>
                <w:rFonts w:ascii="宋体" w:hAnsi="宋体"/>
                <w:sz w:val="18"/>
                <w:szCs w:val="18"/>
                <w:lang w:bidi="ar"/>
              </w:rPr>
              <w:t>工业、仓储</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00A21EC3">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E6CE2E7">
            <w:pPr>
              <w:widowControl/>
              <w:jc w:val="center"/>
              <w:textAlignment w:val="center"/>
              <w:rPr>
                <w:rFonts w:ascii="宋体" w:hAnsi="宋体"/>
                <w:sz w:val="18"/>
                <w:szCs w:val="18"/>
              </w:rPr>
            </w:pPr>
            <w:r>
              <w:rPr>
                <w:rFonts w:ascii="宋体" w:hAnsi="宋体"/>
                <w:sz w:val="18"/>
                <w:szCs w:val="18"/>
                <w:lang w:bidi="ar"/>
              </w:rPr>
              <w:t>0.6</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73C5A730">
            <w:pPr>
              <w:widowControl/>
              <w:jc w:val="center"/>
              <w:textAlignment w:val="center"/>
              <w:rPr>
                <w:rFonts w:ascii="宋体" w:hAnsi="宋体"/>
                <w:sz w:val="18"/>
                <w:szCs w:val="18"/>
              </w:rPr>
            </w:pPr>
            <w:r>
              <w:rPr>
                <w:rFonts w:ascii="宋体" w:hAnsi="宋体"/>
                <w:sz w:val="18"/>
                <w:szCs w:val="18"/>
                <w:lang w:bidi="ar"/>
              </w:rPr>
              <w:t xml:space="preserve">/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14:paraId="32AAA7DF">
            <w:pPr>
              <w:widowControl/>
              <w:jc w:val="center"/>
              <w:rPr>
                <w:rFonts w:ascii="宋体" w:hAnsi="宋体"/>
                <w:sz w:val="18"/>
                <w:szCs w:val="18"/>
              </w:rPr>
            </w:pPr>
            <w:r>
              <w:rPr>
                <w:rFonts w:ascii="宋体" w:hAnsi="宋体"/>
                <w:sz w:val="18"/>
                <w:szCs w:val="18"/>
                <w:lang w:bidi="ar"/>
              </w:rPr>
              <w:t>物流中心另行规划规定</w:t>
            </w:r>
          </w:p>
        </w:tc>
      </w:tr>
    </w:tbl>
    <w:p w14:paraId="3C2684C5">
      <w:pPr>
        <w:snapToGrid w:val="0"/>
        <w:spacing w:before="120" w:beforeLines="50" w:line="240" w:lineRule="exact"/>
        <w:ind w:firstLine="361" w:firstLineChars="200"/>
        <w:rPr>
          <w:rFonts w:hint="eastAsia" w:ascii="宋体" w:hAnsi="宋体"/>
          <w:bCs/>
          <w:sz w:val="18"/>
          <w:szCs w:val="18"/>
          <w:lang w:bidi="ar"/>
        </w:rPr>
      </w:pPr>
      <w:r>
        <w:rPr>
          <w:rFonts w:ascii="宋体" w:hAnsi="宋体"/>
          <w:b/>
          <w:bCs/>
          <w:sz w:val="18"/>
          <w:szCs w:val="18"/>
          <w:lang w:bidi="ar"/>
        </w:rPr>
        <w:t>注：</w:t>
      </w:r>
      <w:r>
        <w:rPr>
          <w:rFonts w:ascii="宋体" w:hAnsi="宋体"/>
          <w:bCs/>
          <w:sz w:val="18"/>
          <w:szCs w:val="18"/>
          <w:lang w:bidi="ar"/>
        </w:rPr>
        <w:t>1.上表中指标为最低控制值</w:t>
      </w:r>
      <w:r>
        <w:rPr>
          <w:rFonts w:hint="eastAsia" w:ascii="宋体" w:hAnsi="宋体"/>
          <w:bCs/>
          <w:sz w:val="18"/>
          <w:szCs w:val="18"/>
          <w:lang w:bidi="ar"/>
        </w:rPr>
        <w:t>。</w:t>
      </w:r>
    </w:p>
    <w:p w14:paraId="59689CF5">
      <w:pPr>
        <w:snapToGrid w:val="0"/>
        <w:spacing w:line="400" w:lineRule="exact"/>
        <w:ind w:firstLine="720" w:firstLineChars="400"/>
        <w:rPr>
          <w:rFonts w:hint="eastAsia" w:ascii="宋体" w:hAnsi="宋体"/>
          <w:bCs/>
          <w:sz w:val="18"/>
          <w:szCs w:val="18"/>
          <w:lang w:bidi="ar"/>
        </w:rPr>
      </w:pPr>
      <w:r>
        <w:rPr>
          <w:rFonts w:ascii="宋体" w:hAnsi="宋体"/>
          <w:bCs/>
          <w:sz w:val="18"/>
          <w:szCs w:val="18"/>
          <w:lang w:bidi="ar"/>
        </w:rPr>
        <w:t>2.综合性建筑配建停车位指标按各类性质和规模分别计算</w:t>
      </w:r>
      <w:r>
        <w:rPr>
          <w:rFonts w:hint="eastAsia" w:ascii="宋体" w:hAnsi="宋体"/>
          <w:bCs/>
          <w:sz w:val="18"/>
          <w:szCs w:val="18"/>
          <w:lang w:bidi="ar"/>
        </w:rPr>
        <w:t>。</w:t>
      </w:r>
    </w:p>
    <w:p w14:paraId="05DE04C9">
      <w:pPr>
        <w:snapToGrid w:val="0"/>
        <w:spacing w:line="400" w:lineRule="exact"/>
        <w:ind w:firstLine="720" w:firstLineChars="400"/>
        <w:rPr>
          <w:rFonts w:hint="eastAsia" w:ascii="宋体" w:hAnsi="宋体"/>
          <w:bCs/>
          <w:sz w:val="18"/>
          <w:szCs w:val="18"/>
          <w:lang w:bidi="ar"/>
        </w:rPr>
      </w:pPr>
      <w:r>
        <w:rPr>
          <w:rFonts w:ascii="宋体" w:hAnsi="宋体"/>
          <w:bCs/>
          <w:sz w:val="18"/>
          <w:szCs w:val="18"/>
          <w:lang w:bidi="ar"/>
        </w:rPr>
        <w:t>3.三星级及以上酒店、大型餐饮娱乐设施、剧院、博物馆、图书馆、展览馆按每1000㎡建筑面积配建</w:t>
      </w:r>
    </w:p>
    <w:p w14:paraId="27A20868">
      <w:pPr>
        <w:snapToGrid w:val="0"/>
        <w:spacing w:line="400" w:lineRule="exact"/>
        <w:ind w:firstLine="900" w:firstLineChars="500"/>
        <w:rPr>
          <w:rFonts w:hint="eastAsia" w:ascii="宋体" w:hAnsi="宋体"/>
          <w:bCs/>
          <w:sz w:val="18"/>
          <w:szCs w:val="18"/>
          <w:lang w:bidi="ar"/>
        </w:rPr>
      </w:pPr>
      <w:r>
        <w:rPr>
          <w:rFonts w:ascii="宋体" w:hAnsi="宋体"/>
          <w:bCs/>
          <w:sz w:val="18"/>
          <w:szCs w:val="18"/>
          <w:lang w:bidi="ar"/>
        </w:rPr>
        <w:t>一个旅游巴士停车位</w:t>
      </w:r>
      <w:r>
        <w:rPr>
          <w:rFonts w:hint="eastAsia" w:ascii="宋体" w:hAnsi="宋体"/>
          <w:bCs/>
          <w:sz w:val="18"/>
          <w:szCs w:val="18"/>
          <w:lang w:bidi="ar"/>
        </w:rPr>
        <w:t>。</w:t>
      </w:r>
    </w:p>
    <w:p w14:paraId="1F1D5402">
      <w:pPr>
        <w:snapToGrid w:val="0"/>
        <w:spacing w:line="400" w:lineRule="exact"/>
        <w:ind w:firstLine="720" w:firstLineChars="400"/>
        <w:rPr>
          <w:rFonts w:hint="eastAsia" w:ascii="宋体" w:hAnsi="宋体"/>
          <w:bCs/>
          <w:sz w:val="18"/>
          <w:szCs w:val="18"/>
          <w:lang w:bidi="ar"/>
        </w:rPr>
      </w:pPr>
      <w:r>
        <w:rPr>
          <w:rFonts w:ascii="宋体" w:hAnsi="宋体"/>
          <w:bCs/>
          <w:sz w:val="18"/>
          <w:szCs w:val="18"/>
          <w:lang w:bidi="ar"/>
        </w:rPr>
        <w:t>4.考虑建设成本和利用率等问题，本表中教育类建筑的停车配建标准仍未满足高峰时间的停车需求，建</w:t>
      </w:r>
    </w:p>
    <w:p w14:paraId="45CDD316">
      <w:pPr>
        <w:snapToGrid w:val="0"/>
        <w:spacing w:line="400" w:lineRule="exact"/>
        <w:ind w:firstLine="900" w:firstLineChars="500"/>
        <w:rPr>
          <w:rFonts w:ascii="宋体" w:hAnsi="宋体"/>
          <w:bCs/>
          <w:sz w:val="18"/>
          <w:szCs w:val="18"/>
          <w:lang w:bidi="ar"/>
        </w:rPr>
      </w:pPr>
      <w:r>
        <w:rPr>
          <w:rFonts w:ascii="宋体" w:hAnsi="宋体"/>
          <w:bCs/>
          <w:sz w:val="18"/>
          <w:szCs w:val="18"/>
          <w:lang w:bidi="ar"/>
        </w:rPr>
        <w:t>议在学校周边增设公共停车场或临时停车位。</w:t>
      </w:r>
    </w:p>
    <w:p w14:paraId="6AAC358E">
      <w:pPr>
        <w:rPr>
          <w:rFonts w:eastAsia="楷体_GB2312"/>
          <w:bCs/>
          <w:sz w:val="24"/>
          <w:lang w:bidi="ar"/>
        </w:rPr>
        <w:sectPr>
          <w:pgSz w:w="11915" w:h="16840"/>
          <w:pgMar w:top="1701" w:right="1531" w:bottom="1758" w:left="1644" w:header="851" w:footer="1361" w:gutter="0"/>
          <w:pgNumType w:fmt="numberInDash"/>
          <w:cols w:space="720" w:num="1"/>
          <w:docGrid w:linePitch="326" w:charSpace="0"/>
        </w:sectPr>
      </w:pPr>
    </w:p>
    <w:p w14:paraId="359183AD">
      <w:pPr>
        <w:rPr>
          <w:rFonts w:eastAsia="黑体"/>
          <w:sz w:val="28"/>
          <w:szCs w:val="28"/>
          <w:lang w:bidi="ar"/>
        </w:rPr>
      </w:pPr>
      <w:r>
        <w:rPr>
          <w:rFonts w:eastAsia="黑体"/>
          <w:sz w:val="28"/>
          <w:szCs w:val="28"/>
          <w:lang w:bidi="ar"/>
        </w:rPr>
        <w:t>附表7—5</w:t>
      </w:r>
    </w:p>
    <w:p w14:paraId="7606FCC0">
      <w:pPr>
        <w:autoSpaceDE w:val="0"/>
        <w:autoSpaceDN w:val="0"/>
        <w:adjustRightInd w:val="0"/>
        <w:jc w:val="center"/>
        <w:rPr>
          <w:rFonts w:eastAsia="仿宋_GB2312"/>
          <w:b/>
          <w:szCs w:val="20"/>
        </w:rPr>
      </w:pPr>
      <w:r>
        <w:rPr>
          <w:rFonts w:eastAsia="黑体"/>
          <w:sz w:val="28"/>
          <w:szCs w:val="28"/>
          <w:lang w:bidi="ar"/>
        </w:rPr>
        <w:t>车辆换算当量系数</w:t>
      </w:r>
    </w:p>
    <w:tbl>
      <w:tblPr>
        <w:tblStyle w:val="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82"/>
        <w:gridCol w:w="920"/>
        <w:gridCol w:w="920"/>
        <w:gridCol w:w="920"/>
        <w:gridCol w:w="920"/>
        <w:gridCol w:w="920"/>
        <w:gridCol w:w="1118"/>
        <w:gridCol w:w="955"/>
        <w:gridCol w:w="937"/>
      </w:tblGrid>
      <w:tr w14:paraId="0FBD5E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69" w:hRule="atLeast"/>
          <w:jc w:val="center"/>
        </w:trPr>
        <w:tc>
          <w:tcPr>
            <w:tcW w:w="1482" w:type="dxa"/>
            <w:vMerge w:val="restart"/>
            <w:tcBorders>
              <w:top w:val="single" w:color="000000" w:sz="12" w:space="0"/>
              <w:left w:val="single" w:color="000000" w:sz="12" w:space="0"/>
              <w:bottom w:val="single" w:color="000000" w:sz="6" w:space="0"/>
              <w:right w:val="single" w:color="000000" w:sz="6" w:space="0"/>
            </w:tcBorders>
            <w:noWrap w:val="0"/>
            <w:vAlign w:val="center"/>
          </w:tcPr>
          <w:p w14:paraId="68B0C7BC">
            <w:pPr>
              <w:widowControl/>
              <w:jc w:val="center"/>
              <w:rPr>
                <w:rFonts w:eastAsia="黑体"/>
                <w:szCs w:val="20"/>
              </w:rPr>
            </w:pPr>
            <w:r>
              <w:rPr>
                <w:rFonts w:eastAsia="黑体"/>
                <w:szCs w:val="20"/>
                <w:lang w:bidi="ar"/>
              </w:rPr>
              <w:t>车型</w:t>
            </w:r>
          </w:p>
        </w:tc>
        <w:tc>
          <w:tcPr>
            <w:tcW w:w="5718" w:type="dxa"/>
            <w:gridSpan w:val="6"/>
            <w:tcBorders>
              <w:top w:val="single" w:color="000000" w:sz="12" w:space="0"/>
              <w:left w:val="single" w:color="000000" w:sz="6" w:space="0"/>
              <w:bottom w:val="single" w:color="000000" w:sz="6" w:space="0"/>
              <w:right w:val="single" w:color="000000" w:sz="6" w:space="0"/>
            </w:tcBorders>
            <w:noWrap w:val="0"/>
            <w:vAlign w:val="center"/>
          </w:tcPr>
          <w:p w14:paraId="214BBAC9">
            <w:pPr>
              <w:widowControl/>
              <w:jc w:val="center"/>
              <w:rPr>
                <w:rFonts w:eastAsia="黑体"/>
                <w:szCs w:val="20"/>
              </w:rPr>
            </w:pPr>
            <w:r>
              <w:rPr>
                <w:rFonts w:eastAsia="黑体"/>
                <w:szCs w:val="20"/>
                <w:lang w:bidi="ar"/>
              </w:rPr>
              <w:t>机  动  车</w:t>
            </w:r>
          </w:p>
        </w:tc>
        <w:tc>
          <w:tcPr>
            <w:tcW w:w="1892" w:type="dxa"/>
            <w:gridSpan w:val="2"/>
            <w:tcBorders>
              <w:top w:val="single" w:color="000000" w:sz="12" w:space="0"/>
              <w:left w:val="single" w:color="000000" w:sz="6" w:space="0"/>
              <w:bottom w:val="single" w:color="000000" w:sz="6" w:space="0"/>
              <w:right w:val="single" w:color="000000" w:sz="12" w:space="0"/>
            </w:tcBorders>
            <w:noWrap w:val="0"/>
            <w:vAlign w:val="center"/>
          </w:tcPr>
          <w:p w14:paraId="38E9E3F2">
            <w:pPr>
              <w:widowControl/>
              <w:jc w:val="center"/>
              <w:rPr>
                <w:rFonts w:eastAsia="黑体"/>
                <w:szCs w:val="20"/>
              </w:rPr>
            </w:pPr>
            <w:r>
              <w:rPr>
                <w:rFonts w:eastAsia="黑体"/>
                <w:szCs w:val="20"/>
                <w:lang w:bidi="ar"/>
              </w:rPr>
              <w:t>非机动车</w:t>
            </w:r>
          </w:p>
        </w:tc>
      </w:tr>
      <w:tr w14:paraId="3B65C4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69" w:hRule="atLeast"/>
          <w:jc w:val="center"/>
        </w:trPr>
        <w:tc>
          <w:tcPr>
            <w:tcW w:w="1482" w:type="dxa"/>
            <w:vMerge w:val="continue"/>
            <w:tcBorders>
              <w:top w:val="single" w:color="000000" w:sz="12" w:space="0"/>
              <w:left w:val="single" w:color="000000" w:sz="12" w:space="0"/>
              <w:bottom w:val="single" w:color="000000" w:sz="6" w:space="0"/>
              <w:right w:val="single" w:color="000000" w:sz="6" w:space="0"/>
            </w:tcBorders>
            <w:noWrap w:val="0"/>
            <w:vAlign w:val="center"/>
          </w:tcPr>
          <w:p w14:paraId="30901C5E">
            <w:pPr>
              <w:jc w:val="center"/>
              <w:rPr>
                <w:rFonts w:eastAsia="黑体"/>
                <w:sz w:val="20"/>
                <w:szCs w:val="20"/>
              </w:rPr>
            </w:pPr>
          </w:p>
        </w:tc>
        <w:tc>
          <w:tcPr>
            <w:tcW w:w="920" w:type="dxa"/>
            <w:tcBorders>
              <w:top w:val="single" w:color="000000" w:sz="6" w:space="0"/>
              <w:left w:val="single" w:color="000000" w:sz="6" w:space="0"/>
              <w:bottom w:val="single" w:color="000000" w:sz="6" w:space="0"/>
              <w:right w:val="single" w:color="000000" w:sz="6" w:space="0"/>
            </w:tcBorders>
            <w:noWrap w:val="0"/>
            <w:vAlign w:val="center"/>
          </w:tcPr>
          <w:p w14:paraId="7538C7F9">
            <w:pPr>
              <w:widowControl/>
              <w:jc w:val="center"/>
              <w:rPr>
                <w:rFonts w:eastAsia="黑体"/>
                <w:szCs w:val="20"/>
              </w:rPr>
            </w:pPr>
            <w:r>
              <w:rPr>
                <w:rFonts w:eastAsia="黑体"/>
                <w:szCs w:val="20"/>
                <w:lang w:bidi="ar"/>
              </w:rPr>
              <w:t>微型</w:t>
            </w:r>
          </w:p>
        </w:tc>
        <w:tc>
          <w:tcPr>
            <w:tcW w:w="920" w:type="dxa"/>
            <w:tcBorders>
              <w:top w:val="single" w:color="000000" w:sz="6" w:space="0"/>
              <w:left w:val="single" w:color="000000" w:sz="6" w:space="0"/>
              <w:bottom w:val="single" w:color="000000" w:sz="6" w:space="0"/>
              <w:right w:val="single" w:color="000000" w:sz="6" w:space="0"/>
            </w:tcBorders>
            <w:noWrap w:val="0"/>
            <w:vAlign w:val="center"/>
          </w:tcPr>
          <w:p w14:paraId="01DCCC2D">
            <w:pPr>
              <w:widowControl/>
              <w:jc w:val="center"/>
              <w:rPr>
                <w:rFonts w:eastAsia="黑体"/>
                <w:szCs w:val="20"/>
              </w:rPr>
            </w:pPr>
            <w:r>
              <w:rPr>
                <w:rFonts w:eastAsia="黑体"/>
                <w:szCs w:val="20"/>
                <w:lang w:bidi="ar"/>
              </w:rPr>
              <w:t>小型</w:t>
            </w:r>
          </w:p>
        </w:tc>
        <w:tc>
          <w:tcPr>
            <w:tcW w:w="920" w:type="dxa"/>
            <w:tcBorders>
              <w:top w:val="single" w:color="000000" w:sz="6" w:space="0"/>
              <w:left w:val="single" w:color="000000" w:sz="6" w:space="0"/>
              <w:bottom w:val="single" w:color="000000" w:sz="6" w:space="0"/>
              <w:right w:val="single" w:color="000000" w:sz="6" w:space="0"/>
            </w:tcBorders>
            <w:noWrap w:val="0"/>
            <w:vAlign w:val="center"/>
          </w:tcPr>
          <w:p w14:paraId="4FF348B8">
            <w:pPr>
              <w:widowControl/>
              <w:jc w:val="center"/>
              <w:rPr>
                <w:rFonts w:eastAsia="黑体"/>
                <w:szCs w:val="20"/>
              </w:rPr>
            </w:pPr>
            <w:r>
              <w:rPr>
                <w:rFonts w:eastAsia="黑体"/>
                <w:szCs w:val="20"/>
                <w:lang w:bidi="ar"/>
              </w:rPr>
              <w:t>中型</w:t>
            </w:r>
          </w:p>
        </w:tc>
        <w:tc>
          <w:tcPr>
            <w:tcW w:w="920" w:type="dxa"/>
            <w:tcBorders>
              <w:top w:val="single" w:color="000000" w:sz="6" w:space="0"/>
              <w:left w:val="single" w:color="000000" w:sz="6" w:space="0"/>
              <w:bottom w:val="single" w:color="000000" w:sz="6" w:space="0"/>
              <w:right w:val="single" w:color="000000" w:sz="6" w:space="0"/>
            </w:tcBorders>
            <w:noWrap w:val="0"/>
            <w:vAlign w:val="center"/>
          </w:tcPr>
          <w:p w14:paraId="7682255E">
            <w:pPr>
              <w:widowControl/>
              <w:jc w:val="center"/>
              <w:rPr>
                <w:rFonts w:eastAsia="黑体"/>
                <w:szCs w:val="20"/>
              </w:rPr>
            </w:pPr>
            <w:r>
              <w:rPr>
                <w:rFonts w:eastAsia="黑体"/>
                <w:szCs w:val="20"/>
                <w:lang w:bidi="ar"/>
              </w:rPr>
              <w:t>大型</w:t>
            </w:r>
          </w:p>
        </w:tc>
        <w:tc>
          <w:tcPr>
            <w:tcW w:w="920" w:type="dxa"/>
            <w:tcBorders>
              <w:top w:val="single" w:color="000000" w:sz="6" w:space="0"/>
              <w:left w:val="single" w:color="000000" w:sz="6" w:space="0"/>
              <w:bottom w:val="single" w:color="000000" w:sz="6" w:space="0"/>
              <w:right w:val="single" w:color="000000" w:sz="6" w:space="0"/>
            </w:tcBorders>
            <w:noWrap w:val="0"/>
            <w:vAlign w:val="center"/>
          </w:tcPr>
          <w:p w14:paraId="43B8A96B">
            <w:pPr>
              <w:widowControl/>
              <w:jc w:val="center"/>
              <w:rPr>
                <w:rFonts w:eastAsia="黑体"/>
                <w:szCs w:val="20"/>
              </w:rPr>
            </w:pPr>
            <w:r>
              <w:rPr>
                <w:rFonts w:eastAsia="黑体"/>
                <w:szCs w:val="20"/>
                <w:lang w:bidi="ar"/>
              </w:rPr>
              <w:t>铰接</w:t>
            </w:r>
          </w:p>
        </w:tc>
        <w:tc>
          <w:tcPr>
            <w:tcW w:w="1118" w:type="dxa"/>
            <w:tcBorders>
              <w:top w:val="single" w:color="000000" w:sz="6" w:space="0"/>
              <w:left w:val="single" w:color="000000" w:sz="6" w:space="0"/>
              <w:bottom w:val="single" w:color="000000" w:sz="6" w:space="0"/>
              <w:right w:val="single" w:color="000000" w:sz="6" w:space="0"/>
            </w:tcBorders>
            <w:noWrap w:val="0"/>
            <w:vAlign w:val="center"/>
          </w:tcPr>
          <w:p w14:paraId="7DDBA7AB">
            <w:pPr>
              <w:widowControl/>
              <w:jc w:val="center"/>
              <w:rPr>
                <w:rFonts w:eastAsia="黑体"/>
                <w:szCs w:val="20"/>
              </w:rPr>
            </w:pPr>
            <w:r>
              <w:rPr>
                <w:rFonts w:eastAsia="黑体"/>
                <w:szCs w:val="20"/>
                <w:lang w:bidi="ar"/>
              </w:rPr>
              <w:t>摩托车</w:t>
            </w:r>
          </w:p>
        </w:tc>
        <w:tc>
          <w:tcPr>
            <w:tcW w:w="955" w:type="dxa"/>
            <w:tcBorders>
              <w:top w:val="single" w:color="000000" w:sz="6" w:space="0"/>
              <w:left w:val="single" w:color="000000" w:sz="6" w:space="0"/>
              <w:bottom w:val="single" w:color="000000" w:sz="6" w:space="0"/>
              <w:right w:val="single" w:color="000000" w:sz="6" w:space="0"/>
            </w:tcBorders>
            <w:noWrap w:val="0"/>
            <w:vAlign w:val="center"/>
          </w:tcPr>
          <w:p w14:paraId="35908B88">
            <w:pPr>
              <w:widowControl/>
              <w:jc w:val="center"/>
              <w:rPr>
                <w:rFonts w:eastAsia="黑体"/>
                <w:szCs w:val="20"/>
              </w:rPr>
            </w:pPr>
            <w:r>
              <w:rPr>
                <w:rFonts w:eastAsia="黑体"/>
                <w:szCs w:val="20"/>
                <w:lang w:bidi="ar"/>
              </w:rPr>
              <w:t>电动车</w:t>
            </w:r>
          </w:p>
        </w:tc>
        <w:tc>
          <w:tcPr>
            <w:tcW w:w="937" w:type="dxa"/>
            <w:tcBorders>
              <w:top w:val="single" w:color="000000" w:sz="6" w:space="0"/>
              <w:left w:val="single" w:color="000000" w:sz="6" w:space="0"/>
              <w:bottom w:val="single" w:color="000000" w:sz="6" w:space="0"/>
              <w:right w:val="single" w:color="000000" w:sz="12" w:space="0"/>
            </w:tcBorders>
            <w:noWrap w:val="0"/>
            <w:vAlign w:val="center"/>
          </w:tcPr>
          <w:p w14:paraId="708DFB9F">
            <w:pPr>
              <w:widowControl/>
              <w:jc w:val="center"/>
              <w:rPr>
                <w:rFonts w:eastAsia="黑体"/>
                <w:szCs w:val="20"/>
              </w:rPr>
            </w:pPr>
            <w:r>
              <w:rPr>
                <w:rFonts w:eastAsia="黑体"/>
                <w:szCs w:val="20"/>
                <w:lang w:bidi="ar"/>
              </w:rPr>
              <w:t>自行车</w:t>
            </w:r>
          </w:p>
        </w:tc>
      </w:tr>
      <w:tr w14:paraId="562B20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9" w:hRule="atLeast"/>
          <w:jc w:val="center"/>
        </w:trPr>
        <w:tc>
          <w:tcPr>
            <w:tcW w:w="1482" w:type="dxa"/>
            <w:tcBorders>
              <w:top w:val="single" w:color="000000" w:sz="6" w:space="0"/>
              <w:left w:val="single" w:color="000000" w:sz="12" w:space="0"/>
              <w:bottom w:val="single" w:color="000000" w:sz="12" w:space="0"/>
              <w:right w:val="single" w:color="000000" w:sz="6" w:space="0"/>
            </w:tcBorders>
            <w:noWrap w:val="0"/>
            <w:vAlign w:val="center"/>
          </w:tcPr>
          <w:p w14:paraId="1CC69AD1">
            <w:pPr>
              <w:widowControl/>
              <w:jc w:val="center"/>
              <w:rPr>
                <w:rFonts w:eastAsia="黑体"/>
                <w:szCs w:val="20"/>
              </w:rPr>
            </w:pPr>
            <w:r>
              <w:rPr>
                <w:rFonts w:eastAsia="黑体"/>
                <w:szCs w:val="20"/>
                <w:lang w:bidi="ar"/>
              </w:rPr>
              <w:t>换算系数</w:t>
            </w:r>
          </w:p>
        </w:tc>
        <w:tc>
          <w:tcPr>
            <w:tcW w:w="920" w:type="dxa"/>
            <w:tcBorders>
              <w:top w:val="single" w:color="000000" w:sz="6" w:space="0"/>
              <w:left w:val="single" w:color="000000" w:sz="6" w:space="0"/>
              <w:bottom w:val="single" w:color="000000" w:sz="12" w:space="0"/>
              <w:right w:val="single" w:color="000000" w:sz="6" w:space="0"/>
            </w:tcBorders>
            <w:noWrap w:val="0"/>
            <w:vAlign w:val="center"/>
          </w:tcPr>
          <w:p w14:paraId="774B1A2F">
            <w:pPr>
              <w:widowControl/>
              <w:jc w:val="center"/>
              <w:rPr>
                <w:rFonts w:ascii="宋体" w:hAnsi="宋体"/>
                <w:szCs w:val="20"/>
              </w:rPr>
            </w:pPr>
            <w:r>
              <w:rPr>
                <w:rFonts w:ascii="宋体" w:hAnsi="宋体"/>
                <w:szCs w:val="20"/>
                <w:lang w:bidi="ar"/>
              </w:rPr>
              <w:t>0.7</w:t>
            </w:r>
          </w:p>
        </w:tc>
        <w:tc>
          <w:tcPr>
            <w:tcW w:w="920" w:type="dxa"/>
            <w:tcBorders>
              <w:top w:val="single" w:color="000000" w:sz="6" w:space="0"/>
              <w:left w:val="single" w:color="000000" w:sz="6" w:space="0"/>
              <w:bottom w:val="single" w:color="000000" w:sz="12" w:space="0"/>
              <w:right w:val="single" w:color="000000" w:sz="6" w:space="0"/>
            </w:tcBorders>
            <w:noWrap w:val="0"/>
            <w:vAlign w:val="center"/>
          </w:tcPr>
          <w:p w14:paraId="0A38F7F4">
            <w:pPr>
              <w:widowControl/>
              <w:jc w:val="center"/>
              <w:rPr>
                <w:rFonts w:ascii="宋体" w:hAnsi="宋体"/>
                <w:szCs w:val="20"/>
              </w:rPr>
            </w:pPr>
            <w:r>
              <w:rPr>
                <w:rFonts w:ascii="宋体" w:hAnsi="宋体"/>
                <w:szCs w:val="20"/>
                <w:lang w:bidi="ar"/>
              </w:rPr>
              <w:t>1.0</w:t>
            </w:r>
          </w:p>
        </w:tc>
        <w:tc>
          <w:tcPr>
            <w:tcW w:w="920" w:type="dxa"/>
            <w:tcBorders>
              <w:top w:val="single" w:color="000000" w:sz="6" w:space="0"/>
              <w:left w:val="single" w:color="000000" w:sz="6" w:space="0"/>
              <w:bottom w:val="single" w:color="000000" w:sz="12" w:space="0"/>
              <w:right w:val="single" w:color="000000" w:sz="6" w:space="0"/>
            </w:tcBorders>
            <w:noWrap w:val="0"/>
            <w:vAlign w:val="center"/>
          </w:tcPr>
          <w:p w14:paraId="43585F38">
            <w:pPr>
              <w:widowControl/>
              <w:jc w:val="center"/>
              <w:rPr>
                <w:rFonts w:ascii="宋体" w:hAnsi="宋体"/>
                <w:szCs w:val="20"/>
              </w:rPr>
            </w:pPr>
            <w:r>
              <w:rPr>
                <w:rFonts w:ascii="宋体" w:hAnsi="宋体"/>
                <w:szCs w:val="20"/>
                <w:lang w:bidi="ar"/>
              </w:rPr>
              <w:t>2.0</w:t>
            </w:r>
          </w:p>
        </w:tc>
        <w:tc>
          <w:tcPr>
            <w:tcW w:w="920" w:type="dxa"/>
            <w:tcBorders>
              <w:top w:val="single" w:color="000000" w:sz="6" w:space="0"/>
              <w:left w:val="single" w:color="000000" w:sz="6" w:space="0"/>
              <w:bottom w:val="single" w:color="000000" w:sz="12" w:space="0"/>
              <w:right w:val="single" w:color="000000" w:sz="6" w:space="0"/>
            </w:tcBorders>
            <w:noWrap w:val="0"/>
            <w:vAlign w:val="center"/>
          </w:tcPr>
          <w:p w14:paraId="180A7256">
            <w:pPr>
              <w:widowControl/>
              <w:jc w:val="center"/>
              <w:rPr>
                <w:rFonts w:ascii="宋体" w:hAnsi="宋体"/>
                <w:szCs w:val="20"/>
              </w:rPr>
            </w:pPr>
            <w:r>
              <w:rPr>
                <w:rFonts w:ascii="宋体" w:hAnsi="宋体"/>
                <w:szCs w:val="20"/>
                <w:lang w:bidi="ar"/>
              </w:rPr>
              <w:t>2.5</w:t>
            </w:r>
          </w:p>
        </w:tc>
        <w:tc>
          <w:tcPr>
            <w:tcW w:w="920" w:type="dxa"/>
            <w:tcBorders>
              <w:top w:val="single" w:color="000000" w:sz="6" w:space="0"/>
              <w:left w:val="single" w:color="000000" w:sz="6" w:space="0"/>
              <w:bottom w:val="single" w:color="000000" w:sz="12" w:space="0"/>
              <w:right w:val="single" w:color="000000" w:sz="6" w:space="0"/>
            </w:tcBorders>
            <w:noWrap w:val="0"/>
            <w:vAlign w:val="center"/>
          </w:tcPr>
          <w:p w14:paraId="0E912DAB">
            <w:pPr>
              <w:widowControl/>
              <w:jc w:val="center"/>
              <w:rPr>
                <w:rFonts w:ascii="宋体" w:hAnsi="宋体"/>
                <w:szCs w:val="20"/>
              </w:rPr>
            </w:pPr>
            <w:r>
              <w:rPr>
                <w:rFonts w:ascii="宋体" w:hAnsi="宋体"/>
                <w:szCs w:val="20"/>
                <w:lang w:bidi="ar"/>
              </w:rPr>
              <w:t>3.5</w:t>
            </w:r>
          </w:p>
        </w:tc>
        <w:tc>
          <w:tcPr>
            <w:tcW w:w="1118" w:type="dxa"/>
            <w:tcBorders>
              <w:top w:val="single" w:color="000000" w:sz="6" w:space="0"/>
              <w:left w:val="single" w:color="000000" w:sz="6" w:space="0"/>
              <w:bottom w:val="single" w:color="000000" w:sz="12" w:space="0"/>
              <w:right w:val="single" w:color="000000" w:sz="6" w:space="0"/>
            </w:tcBorders>
            <w:noWrap w:val="0"/>
            <w:vAlign w:val="center"/>
          </w:tcPr>
          <w:p w14:paraId="427C269F">
            <w:pPr>
              <w:widowControl/>
              <w:jc w:val="center"/>
              <w:rPr>
                <w:rFonts w:ascii="宋体" w:hAnsi="宋体"/>
                <w:szCs w:val="20"/>
              </w:rPr>
            </w:pPr>
            <w:r>
              <w:rPr>
                <w:rFonts w:ascii="宋体" w:hAnsi="宋体"/>
                <w:szCs w:val="20"/>
                <w:lang w:bidi="ar"/>
              </w:rPr>
              <w:t>0.4</w:t>
            </w:r>
          </w:p>
        </w:tc>
        <w:tc>
          <w:tcPr>
            <w:tcW w:w="955" w:type="dxa"/>
            <w:tcBorders>
              <w:top w:val="single" w:color="000000" w:sz="6" w:space="0"/>
              <w:left w:val="single" w:color="000000" w:sz="6" w:space="0"/>
              <w:bottom w:val="single" w:color="000000" w:sz="12" w:space="0"/>
              <w:right w:val="single" w:color="000000" w:sz="6" w:space="0"/>
            </w:tcBorders>
            <w:noWrap w:val="0"/>
            <w:vAlign w:val="center"/>
          </w:tcPr>
          <w:p w14:paraId="70CE0C2A">
            <w:pPr>
              <w:widowControl/>
              <w:jc w:val="center"/>
              <w:rPr>
                <w:rFonts w:ascii="宋体" w:hAnsi="宋体"/>
                <w:szCs w:val="20"/>
              </w:rPr>
            </w:pPr>
            <w:r>
              <w:rPr>
                <w:rFonts w:ascii="宋体" w:hAnsi="宋体"/>
                <w:szCs w:val="20"/>
                <w:lang w:bidi="ar"/>
              </w:rPr>
              <w:t>1.5</w:t>
            </w:r>
          </w:p>
        </w:tc>
        <w:tc>
          <w:tcPr>
            <w:tcW w:w="937" w:type="dxa"/>
            <w:tcBorders>
              <w:top w:val="single" w:color="000000" w:sz="6" w:space="0"/>
              <w:left w:val="single" w:color="000000" w:sz="6" w:space="0"/>
              <w:bottom w:val="single" w:color="000000" w:sz="12" w:space="0"/>
              <w:right w:val="single" w:color="000000" w:sz="12" w:space="0"/>
            </w:tcBorders>
            <w:noWrap w:val="0"/>
            <w:vAlign w:val="center"/>
          </w:tcPr>
          <w:p w14:paraId="0818CF03">
            <w:pPr>
              <w:widowControl/>
              <w:jc w:val="center"/>
              <w:rPr>
                <w:rFonts w:ascii="宋体" w:hAnsi="宋体"/>
                <w:szCs w:val="20"/>
              </w:rPr>
            </w:pPr>
            <w:r>
              <w:rPr>
                <w:rFonts w:ascii="宋体" w:hAnsi="宋体"/>
                <w:szCs w:val="20"/>
                <w:lang w:bidi="ar"/>
              </w:rPr>
              <w:t>1.0</w:t>
            </w:r>
          </w:p>
        </w:tc>
      </w:tr>
    </w:tbl>
    <w:p w14:paraId="0E5CA0CC">
      <w:pPr>
        <w:snapToGrid w:val="0"/>
        <w:spacing w:before="120" w:beforeLines="50" w:line="400" w:lineRule="exact"/>
        <w:ind w:firstLine="422" w:firstLineChars="200"/>
        <w:rPr>
          <w:rFonts w:ascii="宋体" w:hAnsi="宋体"/>
          <w:bCs/>
          <w:szCs w:val="21"/>
        </w:rPr>
      </w:pPr>
      <w:r>
        <w:rPr>
          <w:rFonts w:ascii="宋体" w:hAnsi="宋体"/>
          <w:b/>
          <w:bCs/>
          <w:szCs w:val="21"/>
          <w:lang w:bidi="ar"/>
        </w:rPr>
        <w:t>注：</w:t>
      </w:r>
      <w:r>
        <w:rPr>
          <w:rFonts w:ascii="宋体" w:hAnsi="宋体"/>
          <w:bCs/>
          <w:szCs w:val="21"/>
          <w:lang w:bidi="ar"/>
        </w:rPr>
        <w:t>自行车的当量小汽车换算系数为0.2。</w:t>
      </w:r>
    </w:p>
    <w:p w14:paraId="6AE2469F">
      <w:pPr>
        <w:snapToGrid w:val="0"/>
        <w:spacing w:before="120" w:beforeLines="50" w:line="300" w:lineRule="exact"/>
        <w:ind w:left="1262" w:leftChars="601" w:firstLine="1120" w:firstLineChars="350"/>
        <w:rPr>
          <w:rFonts w:eastAsia="仿宋_GB2312"/>
          <w:bCs/>
          <w:sz w:val="32"/>
        </w:rPr>
      </w:pPr>
    </w:p>
    <w:p w14:paraId="04200C5B">
      <w:pPr>
        <w:rPr>
          <w:rFonts w:eastAsia="黑体"/>
          <w:sz w:val="28"/>
          <w:szCs w:val="28"/>
          <w:lang w:bidi="ar"/>
        </w:rPr>
      </w:pPr>
      <w:r>
        <w:rPr>
          <w:rFonts w:eastAsia="黑体"/>
          <w:sz w:val="28"/>
          <w:szCs w:val="28"/>
          <w:lang w:bidi="ar"/>
        </w:rPr>
        <w:t>附表7—6</w:t>
      </w:r>
    </w:p>
    <w:p w14:paraId="6FB79DC2">
      <w:pPr>
        <w:autoSpaceDE w:val="0"/>
        <w:autoSpaceDN w:val="0"/>
        <w:adjustRightInd w:val="0"/>
        <w:jc w:val="center"/>
        <w:rPr>
          <w:rFonts w:eastAsia="仿宋_GB2312"/>
          <w:b/>
          <w:sz w:val="32"/>
          <w:szCs w:val="28"/>
        </w:rPr>
      </w:pPr>
      <w:r>
        <w:rPr>
          <w:rFonts w:eastAsia="黑体"/>
          <w:sz w:val="28"/>
          <w:szCs w:val="28"/>
          <w:lang w:bidi="ar"/>
        </w:rPr>
        <w:t>建筑物与铁路安全间距（单位：m）</w:t>
      </w:r>
    </w:p>
    <w:tbl>
      <w:tblPr>
        <w:tblStyle w:val="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59"/>
        <w:gridCol w:w="2238"/>
        <w:gridCol w:w="2075"/>
        <w:gridCol w:w="2653"/>
      </w:tblGrid>
      <w:tr w14:paraId="6C0551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34" w:hRule="atLeast"/>
          <w:jc w:val="center"/>
        </w:trPr>
        <w:tc>
          <w:tcPr>
            <w:tcW w:w="2259" w:type="dxa"/>
            <w:tcBorders>
              <w:top w:val="single" w:color="000000" w:sz="12" w:space="0"/>
              <w:left w:val="single" w:color="000000" w:sz="12" w:space="0"/>
              <w:bottom w:val="single" w:color="000000" w:sz="6" w:space="0"/>
              <w:right w:val="single" w:color="000000" w:sz="6" w:space="0"/>
            </w:tcBorders>
            <w:noWrap w:val="0"/>
            <w:vAlign w:val="center"/>
          </w:tcPr>
          <w:p w14:paraId="5A2C8A58">
            <w:pPr>
              <w:widowControl/>
              <w:jc w:val="center"/>
              <w:rPr>
                <w:rFonts w:eastAsia="黑体"/>
                <w:szCs w:val="20"/>
              </w:rPr>
            </w:pPr>
            <w:r>
              <w:rPr>
                <w:rFonts w:eastAsia="黑体"/>
                <w:lang w:bidi="ar"/>
              </w:rPr>
              <mc:AlternateContent>
                <mc:Choice Requires="wps">
                  <w:drawing>
                    <wp:anchor distT="0" distB="0" distL="114300" distR="114300" simplePos="0" relativeHeight="251664384" behindDoc="0" locked="0" layoutInCell="1" allowOverlap="1">
                      <wp:simplePos x="0" y="0"/>
                      <wp:positionH relativeFrom="column">
                        <wp:posOffset>495300</wp:posOffset>
                      </wp:positionH>
                      <wp:positionV relativeFrom="paragraph">
                        <wp:posOffset>-14605</wp:posOffset>
                      </wp:positionV>
                      <wp:extent cx="854075" cy="643255"/>
                      <wp:effectExtent l="3175" t="3810" r="11430" b="8255"/>
                      <wp:wrapNone/>
                      <wp:docPr id="83" name="直接连接符 83"/>
                      <wp:cNvGraphicFramePr/>
                      <a:graphic xmlns:a="http://schemas.openxmlformats.org/drawingml/2006/main">
                        <a:graphicData uri="http://schemas.microsoft.com/office/word/2010/wordprocessingShape">
                          <wps:wsp>
                            <wps:cNvCnPr/>
                            <wps:spPr>
                              <a:xfrm>
                                <a:off x="0" y="0"/>
                                <a:ext cx="846455" cy="509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9pt;margin-top:-1.15pt;height:50.65pt;width:67.25pt;z-index:251664384;mso-width-relative:page;mso-height-relative:page;" filled="f" stroked="t" coordsize="21600,21600" o:gfxdata="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b8/8vXAAAACAEAAA8AAAAAAAAAAQAgAAAAIgAAAGRycy9kb3du&#10;cmV2LnhtbFBLAQIUABQAAAAIAIdO4kAaIXWGAAIAAPgDAAAOAAAAAAAAAAEAIAAAACYBAABkcnMv&#10;ZTJvRG9jLnhtbFBLBQYAAAAABgAGAFkBAACYBQAAAAA=&#10;">
                      <v:fill on="f" focussize="0,0"/>
                      <v:stroke color="#000000" joinstyle="round"/>
                      <v:imagedata o:title=""/>
                      <o:lock v:ext="edit" aspectratio="f"/>
                    </v:line>
                  </w:pict>
                </mc:Fallback>
              </mc:AlternateContent>
            </w:r>
            <w:r>
              <w:rPr>
                <w:rFonts w:eastAsia="黑体"/>
                <w:szCs w:val="20"/>
                <w:lang w:bidi="ar"/>
              </w:rPr>
              <w:t xml:space="preserve">            铁 路</w:t>
            </w:r>
          </w:p>
          <w:p w14:paraId="13AC6FDE">
            <w:pPr>
              <w:ind w:firstLine="315" w:firstLineChars="150"/>
              <w:rPr>
                <w:rFonts w:eastAsia="黑体"/>
                <w:szCs w:val="20"/>
              </w:rPr>
            </w:pPr>
            <w:r>
              <w:rPr>
                <w:rFonts w:eastAsia="黑体"/>
                <w:lang w:bidi="ar"/>
              </w:rPr>
              <mc:AlternateContent>
                <mc:Choice Requires="wps">
                  <w:drawing>
                    <wp:anchor distT="0" distB="0" distL="114300" distR="114300" simplePos="0" relativeHeight="251665408" behindDoc="0" locked="0" layoutInCell="1" allowOverlap="1">
                      <wp:simplePos x="0" y="0"/>
                      <wp:positionH relativeFrom="column">
                        <wp:posOffset>-57785</wp:posOffset>
                      </wp:positionH>
                      <wp:positionV relativeFrom="paragraph">
                        <wp:posOffset>123825</wp:posOffset>
                      </wp:positionV>
                      <wp:extent cx="1407160" cy="331470"/>
                      <wp:effectExtent l="1270" t="4445" r="8890" b="14605"/>
                      <wp:wrapNone/>
                      <wp:docPr id="84" name="直接连接符 84"/>
                      <wp:cNvGraphicFramePr/>
                      <a:graphic xmlns:a="http://schemas.openxmlformats.org/drawingml/2006/main">
                        <a:graphicData uri="http://schemas.microsoft.com/office/word/2010/wordprocessingShape">
                          <wps:wsp>
                            <wps:cNvCnPr/>
                            <wps:spPr>
                              <a:xfrm>
                                <a:off x="0" y="0"/>
                                <a:ext cx="1399540" cy="2000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55pt;margin-top:9.75pt;height:26.1pt;width:110.8pt;z-index:251665408;mso-width-relative:page;mso-height-relative:page;" filled="f" stroked="t" coordsize="21600,21600" o:gfxdata="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2tvdtYAAAAIAQAADwAAAAAAAAABACAAAAAiAAAAZHJzL2Rvd25yZXYu&#10;eG1sUEsBAhQAFAAAAAgAh07iQBrpXw79AQAA+QMAAA4AAAAAAAAAAQAgAAAAJQEAAGRycy9lMm9E&#10;b2MueG1sUEsFBgAAAAAGAAYAWQEAAJQFAAAAAA==&#10;">
                      <v:fill on="f" focussize="0,0"/>
                      <v:stroke color="#000000" joinstyle="round"/>
                      <v:imagedata o:title=""/>
                      <o:lock v:ext="edit" aspectratio="f"/>
                    </v:line>
                  </w:pict>
                </mc:Fallback>
              </mc:AlternateContent>
            </w:r>
            <w:r>
              <w:rPr>
                <w:rFonts w:eastAsia="黑体"/>
                <w:szCs w:val="20"/>
                <w:lang w:bidi="ar"/>
              </w:rPr>
              <w:t>安全间距</w:t>
            </w:r>
          </w:p>
          <w:p w14:paraId="4B3705A9">
            <w:pPr>
              <w:rPr>
                <w:rFonts w:eastAsia="黑体"/>
                <w:szCs w:val="20"/>
                <w:lang w:bidi="ar"/>
              </w:rPr>
            </w:pPr>
          </w:p>
          <w:p w14:paraId="21C61642">
            <w:pPr>
              <w:ind w:firstLine="315" w:firstLineChars="150"/>
              <w:rPr>
                <w:rFonts w:eastAsia="黑体"/>
                <w:szCs w:val="20"/>
              </w:rPr>
            </w:pPr>
            <w:r>
              <w:rPr>
                <w:rFonts w:eastAsia="黑体"/>
                <w:szCs w:val="20"/>
                <w:lang w:bidi="ar"/>
              </w:rPr>
              <w:t>种 类</w:t>
            </w:r>
          </w:p>
        </w:tc>
        <w:tc>
          <w:tcPr>
            <w:tcW w:w="2238" w:type="dxa"/>
            <w:tcBorders>
              <w:top w:val="single" w:color="000000" w:sz="12" w:space="0"/>
              <w:left w:val="single" w:color="000000" w:sz="6" w:space="0"/>
              <w:bottom w:val="single" w:color="000000" w:sz="6" w:space="0"/>
              <w:right w:val="single" w:color="000000" w:sz="6" w:space="0"/>
            </w:tcBorders>
            <w:noWrap w:val="0"/>
            <w:vAlign w:val="center"/>
          </w:tcPr>
          <w:p w14:paraId="66CF4AB6">
            <w:pPr>
              <w:widowControl/>
              <w:jc w:val="center"/>
              <w:rPr>
                <w:rFonts w:eastAsia="黑体"/>
                <w:szCs w:val="20"/>
              </w:rPr>
            </w:pPr>
            <w:r>
              <w:rPr>
                <w:rFonts w:eastAsia="黑体"/>
                <w:szCs w:val="20"/>
                <w:lang w:bidi="ar"/>
              </w:rPr>
              <w:t>干线铁路</w:t>
            </w:r>
          </w:p>
        </w:tc>
        <w:tc>
          <w:tcPr>
            <w:tcW w:w="2075" w:type="dxa"/>
            <w:tcBorders>
              <w:top w:val="single" w:color="000000" w:sz="12" w:space="0"/>
              <w:left w:val="single" w:color="000000" w:sz="6" w:space="0"/>
              <w:bottom w:val="single" w:color="000000" w:sz="6" w:space="0"/>
              <w:right w:val="single" w:color="000000" w:sz="6" w:space="0"/>
            </w:tcBorders>
            <w:noWrap w:val="0"/>
            <w:vAlign w:val="center"/>
          </w:tcPr>
          <w:p w14:paraId="764C94A7">
            <w:pPr>
              <w:widowControl/>
              <w:jc w:val="center"/>
              <w:rPr>
                <w:rFonts w:eastAsia="黑体"/>
                <w:szCs w:val="20"/>
              </w:rPr>
            </w:pPr>
            <w:r>
              <w:rPr>
                <w:rFonts w:eastAsia="黑体"/>
                <w:szCs w:val="20"/>
                <w:lang w:bidi="ar"/>
              </w:rPr>
              <w:t>支线专用线</w:t>
            </w:r>
          </w:p>
        </w:tc>
        <w:tc>
          <w:tcPr>
            <w:tcW w:w="2653" w:type="dxa"/>
            <w:tcBorders>
              <w:top w:val="single" w:color="000000" w:sz="12" w:space="0"/>
              <w:left w:val="single" w:color="000000" w:sz="6" w:space="0"/>
              <w:bottom w:val="single" w:color="000000" w:sz="6" w:space="0"/>
              <w:right w:val="single" w:color="000000" w:sz="12" w:space="0"/>
            </w:tcBorders>
            <w:noWrap w:val="0"/>
            <w:vAlign w:val="center"/>
          </w:tcPr>
          <w:p w14:paraId="5528061E">
            <w:pPr>
              <w:widowControl/>
              <w:jc w:val="center"/>
              <w:rPr>
                <w:rFonts w:eastAsia="黑体"/>
                <w:szCs w:val="20"/>
              </w:rPr>
            </w:pPr>
            <w:r>
              <w:rPr>
                <w:rFonts w:eastAsia="黑体"/>
                <w:szCs w:val="20"/>
                <w:lang w:bidi="ar"/>
              </w:rPr>
              <w:t>铁路通信架空线</w:t>
            </w:r>
          </w:p>
        </w:tc>
      </w:tr>
      <w:tr w14:paraId="001F1B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7" w:hRule="atLeast"/>
          <w:jc w:val="center"/>
        </w:trPr>
        <w:tc>
          <w:tcPr>
            <w:tcW w:w="2259" w:type="dxa"/>
            <w:tcBorders>
              <w:top w:val="single" w:color="000000" w:sz="6" w:space="0"/>
              <w:left w:val="single" w:color="000000" w:sz="12" w:space="0"/>
              <w:bottom w:val="single" w:color="000000" w:sz="6" w:space="0"/>
              <w:right w:val="single" w:color="000000" w:sz="6" w:space="0"/>
            </w:tcBorders>
            <w:noWrap w:val="0"/>
            <w:vAlign w:val="center"/>
          </w:tcPr>
          <w:p w14:paraId="148DA0E0">
            <w:pPr>
              <w:widowControl/>
              <w:jc w:val="center"/>
              <w:rPr>
                <w:rFonts w:eastAsia="黑体"/>
                <w:szCs w:val="20"/>
              </w:rPr>
            </w:pPr>
            <w:r>
              <w:rPr>
                <w:rFonts w:eastAsia="黑体"/>
                <w:szCs w:val="20"/>
                <w:lang w:bidi="ar"/>
              </w:rPr>
              <w:t>围墙</w:t>
            </w:r>
          </w:p>
        </w:tc>
        <w:tc>
          <w:tcPr>
            <w:tcW w:w="2238" w:type="dxa"/>
            <w:tcBorders>
              <w:top w:val="single" w:color="000000" w:sz="6" w:space="0"/>
              <w:left w:val="single" w:color="000000" w:sz="6" w:space="0"/>
              <w:bottom w:val="single" w:color="000000" w:sz="6" w:space="0"/>
              <w:right w:val="single" w:color="000000" w:sz="6" w:space="0"/>
            </w:tcBorders>
            <w:noWrap w:val="0"/>
            <w:vAlign w:val="center"/>
          </w:tcPr>
          <w:p w14:paraId="671D19F9">
            <w:pPr>
              <w:widowControl/>
              <w:jc w:val="center"/>
              <w:rPr>
                <w:rFonts w:ascii="宋体" w:hAnsi="宋体"/>
                <w:szCs w:val="20"/>
              </w:rPr>
            </w:pPr>
            <w:r>
              <w:rPr>
                <w:rFonts w:ascii="宋体" w:hAnsi="宋体"/>
                <w:szCs w:val="20"/>
                <w:lang w:bidi="ar"/>
              </w:rPr>
              <w:t>&gt;10</w:t>
            </w:r>
          </w:p>
        </w:tc>
        <w:tc>
          <w:tcPr>
            <w:tcW w:w="2075" w:type="dxa"/>
            <w:tcBorders>
              <w:top w:val="single" w:color="000000" w:sz="6" w:space="0"/>
              <w:left w:val="single" w:color="000000" w:sz="6" w:space="0"/>
              <w:bottom w:val="single" w:color="000000" w:sz="6" w:space="0"/>
              <w:right w:val="single" w:color="000000" w:sz="6" w:space="0"/>
            </w:tcBorders>
            <w:noWrap w:val="0"/>
            <w:vAlign w:val="center"/>
          </w:tcPr>
          <w:p w14:paraId="604CF166">
            <w:pPr>
              <w:widowControl/>
              <w:jc w:val="center"/>
              <w:rPr>
                <w:rFonts w:ascii="宋体" w:hAnsi="宋体"/>
                <w:szCs w:val="20"/>
              </w:rPr>
            </w:pPr>
            <w:r>
              <w:rPr>
                <w:rFonts w:ascii="宋体" w:hAnsi="宋体"/>
                <w:szCs w:val="20"/>
                <w:lang w:bidi="ar"/>
              </w:rPr>
              <w:t>&gt;8</w:t>
            </w:r>
          </w:p>
        </w:tc>
        <w:tc>
          <w:tcPr>
            <w:tcW w:w="2653" w:type="dxa"/>
            <w:tcBorders>
              <w:top w:val="single" w:color="000000" w:sz="6" w:space="0"/>
              <w:left w:val="single" w:color="000000" w:sz="6" w:space="0"/>
              <w:bottom w:val="single" w:color="000000" w:sz="6" w:space="0"/>
              <w:right w:val="single" w:color="000000" w:sz="12" w:space="0"/>
            </w:tcBorders>
            <w:noWrap w:val="0"/>
            <w:vAlign w:val="center"/>
          </w:tcPr>
          <w:p w14:paraId="16F0A847">
            <w:pPr>
              <w:widowControl/>
              <w:jc w:val="center"/>
              <w:rPr>
                <w:rFonts w:ascii="宋体" w:hAnsi="宋体"/>
                <w:szCs w:val="20"/>
              </w:rPr>
            </w:pPr>
            <w:r>
              <w:rPr>
                <w:rFonts w:ascii="宋体" w:hAnsi="宋体"/>
                <w:szCs w:val="20"/>
                <w:lang w:bidi="ar"/>
              </w:rPr>
              <w:t>&gt;3</w:t>
            </w:r>
          </w:p>
        </w:tc>
      </w:tr>
      <w:tr w14:paraId="672A73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7" w:hRule="atLeast"/>
          <w:jc w:val="center"/>
        </w:trPr>
        <w:tc>
          <w:tcPr>
            <w:tcW w:w="2259" w:type="dxa"/>
            <w:tcBorders>
              <w:top w:val="single" w:color="000000" w:sz="6" w:space="0"/>
              <w:left w:val="single" w:color="000000" w:sz="12" w:space="0"/>
              <w:bottom w:val="single" w:color="000000" w:sz="12" w:space="0"/>
              <w:right w:val="single" w:color="000000" w:sz="6" w:space="0"/>
            </w:tcBorders>
            <w:noWrap w:val="0"/>
            <w:vAlign w:val="center"/>
          </w:tcPr>
          <w:p w14:paraId="58E0A9A0">
            <w:pPr>
              <w:widowControl/>
              <w:jc w:val="center"/>
              <w:rPr>
                <w:rFonts w:eastAsia="黑体"/>
                <w:szCs w:val="20"/>
              </w:rPr>
            </w:pPr>
            <w:r>
              <w:rPr>
                <w:rFonts w:eastAsia="黑体"/>
                <w:szCs w:val="20"/>
                <w:lang w:bidi="ar"/>
              </w:rPr>
              <w:t>建筑物</w:t>
            </w:r>
          </w:p>
        </w:tc>
        <w:tc>
          <w:tcPr>
            <w:tcW w:w="2238" w:type="dxa"/>
            <w:tcBorders>
              <w:top w:val="single" w:color="000000" w:sz="6" w:space="0"/>
              <w:left w:val="single" w:color="000000" w:sz="6" w:space="0"/>
              <w:bottom w:val="single" w:color="000000" w:sz="12" w:space="0"/>
              <w:right w:val="single" w:color="000000" w:sz="6" w:space="0"/>
            </w:tcBorders>
            <w:noWrap w:val="0"/>
            <w:vAlign w:val="center"/>
          </w:tcPr>
          <w:p w14:paraId="4BB69D8F">
            <w:pPr>
              <w:widowControl/>
              <w:jc w:val="center"/>
              <w:rPr>
                <w:rFonts w:ascii="宋体" w:hAnsi="宋体"/>
                <w:szCs w:val="20"/>
              </w:rPr>
            </w:pPr>
            <w:r>
              <w:rPr>
                <w:rFonts w:ascii="宋体" w:hAnsi="宋体"/>
                <w:szCs w:val="20"/>
                <w:lang w:bidi="ar"/>
              </w:rPr>
              <w:t>&gt;12</w:t>
            </w:r>
          </w:p>
        </w:tc>
        <w:tc>
          <w:tcPr>
            <w:tcW w:w="2075" w:type="dxa"/>
            <w:tcBorders>
              <w:top w:val="single" w:color="000000" w:sz="6" w:space="0"/>
              <w:left w:val="single" w:color="000000" w:sz="6" w:space="0"/>
              <w:bottom w:val="single" w:color="000000" w:sz="12" w:space="0"/>
              <w:right w:val="single" w:color="000000" w:sz="6" w:space="0"/>
            </w:tcBorders>
            <w:noWrap w:val="0"/>
            <w:vAlign w:val="center"/>
          </w:tcPr>
          <w:p w14:paraId="24E86993">
            <w:pPr>
              <w:widowControl/>
              <w:jc w:val="center"/>
              <w:rPr>
                <w:rFonts w:ascii="宋体" w:hAnsi="宋体"/>
                <w:szCs w:val="20"/>
              </w:rPr>
            </w:pPr>
            <w:r>
              <w:rPr>
                <w:rFonts w:ascii="宋体" w:hAnsi="宋体"/>
                <w:szCs w:val="20"/>
                <w:lang w:bidi="ar"/>
              </w:rPr>
              <w:t>&gt;10</w:t>
            </w:r>
          </w:p>
        </w:tc>
        <w:tc>
          <w:tcPr>
            <w:tcW w:w="2653" w:type="dxa"/>
            <w:tcBorders>
              <w:top w:val="single" w:color="000000" w:sz="6" w:space="0"/>
              <w:left w:val="single" w:color="000000" w:sz="6" w:space="0"/>
              <w:bottom w:val="single" w:color="000000" w:sz="12" w:space="0"/>
              <w:right w:val="single" w:color="000000" w:sz="12" w:space="0"/>
            </w:tcBorders>
            <w:noWrap w:val="0"/>
            <w:vAlign w:val="center"/>
          </w:tcPr>
          <w:p w14:paraId="0D14C5F5">
            <w:pPr>
              <w:widowControl/>
              <w:jc w:val="center"/>
              <w:rPr>
                <w:rFonts w:ascii="宋体" w:hAnsi="宋体"/>
                <w:szCs w:val="20"/>
              </w:rPr>
            </w:pPr>
            <w:r>
              <w:rPr>
                <w:rFonts w:ascii="宋体" w:hAnsi="宋体"/>
                <w:szCs w:val="20"/>
                <w:lang w:bidi="ar"/>
              </w:rPr>
              <w:t>&gt;5</w:t>
            </w:r>
          </w:p>
        </w:tc>
      </w:tr>
    </w:tbl>
    <w:p w14:paraId="1204E202">
      <w:pPr>
        <w:snapToGrid w:val="0"/>
        <w:spacing w:before="120" w:beforeLines="50" w:line="240" w:lineRule="exact"/>
        <w:ind w:firstLine="422" w:firstLineChars="200"/>
        <w:rPr>
          <w:rFonts w:ascii="宋体" w:hAnsi="宋体"/>
          <w:bCs/>
          <w:szCs w:val="21"/>
          <w:lang w:bidi="ar"/>
        </w:rPr>
      </w:pPr>
      <w:r>
        <w:rPr>
          <w:rFonts w:ascii="宋体" w:hAnsi="宋体"/>
          <w:b/>
          <w:bCs/>
          <w:szCs w:val="21"/>
          <w:lang w:bidi="ar"/>
        </w:rPr>
        <w:t>注：</w:t>
      </w:r>
      <w:r>
        <w:rPr>
          <w:rFonts w:ascii="宋体" w:hAnsi="宋体"/>
          <w:bCs/>
          <w:szCs w:val="21"/>
          <w:lang w:bidi="ar"/>
        </w:rPr>
        <w:t>1.</w:t>
      </w:r>
      <w:r>
        <w:rPr>
          <w:rFonts w:ascii="宋体" w:hAnsi="宋体"/>
          <w:bCs/>
          <w:spacing w:val="-4"/>
          <w:szCs w:val="21"/>
          <w:lang w:bidi="ar"/>
        </w:rPr>
        <w:t>铁路以最外侧轨道、通信线以最外侧线的垂直投影计算起点，铁路线路为路堑时取上限。</w:t>
      </w:r>
    </w:p>
    <w:p w14:paraId="07076C8C">
      <w:pPr>
        <w:snapToGrid w:val="0"/>
        <w:spacing w:before="120" w:beforeLines="50" w:line="240" w:lineRule="exact"/>
        <w:ind w:firstLine="871" w:firstLineChars="415"/>
        <w:rPr>
          <w:rFonts w:ascii="宋体" w:hAnsi="宋体"/>
          <w:bCs/>
          <w:szCs w:val="21"/>
          <w:lang w:bidi="ar"/>
        </w:rPr>
      </w:pPr>
      <w:r>
        <w:rPr>
          <w:rFonts w:ascii="宋体" w:hAnsi="宋体"/>
          <w:bCs/>
          <w:szCs w:val="21"/>
          <w:lang w:bidi="ar"/>
        </w:rPr>
        <w:t>2.国家铁路干线包括京广铁路、京九铁路、汉丹铁路、武九铁路等国家铁路。</w:t>
      </w:r>
    </w:p>
    <w:p w14:paraId="45A7A309">
      <w:pPr>
        <w:snapToGrid w:val="0"/>
        <w:spacing w:before="120" w:beforeLines="50" w:line="240" w:lineRule="exact"/>
        <w:ind w:firstLine="2310" w:firstLineChars="1100"/>
        <w:rPr>
          <w:rFonts w:eastAsia="仿宋_GB2312"/>
          <w:bCs/>
        </w:rPr>
      </w:pPr>
    </w:p>
    <w:p w14:paraId="3866AD52">
      <w:pPr>
        <w:rPr>
          <w:rFonts w:eastAsia="仿宋_GB2312"/>
          <w:b/>
          <w:sz w:val="32"/>
          <w:szCs w:val="20"/>
        </w:rPr>
      </w:pPr>
      <w:r>
        <w:rPr>
          <w:rFonts w:eastAsia="黑体"/>
          <w:sz w:val="28"/>
          <w:szCs w:val="28"/>
          <w:lang w:bidi="ar"/>
        </w:rPr>
        <w:t xml:space="preserve">附表7—7 </w:t>
      </w:r>
    </w:p>
    <w:p w14:paraId="5F2E64A6">
      <w:pPr>
        <w:autoSpaceDE w:val="0"/>
        <w:autoSpaceDN w:val="0"/>
        <w:adjustRightInd w:val="0"/>
        <w:jc w:val="center"/>
        <w:rPr>
          <w:rFonts w:eastAsia="仿宋_GB2312"/>
          <w:b/>
          <w:sz w:val="32"/>
          <w:szCs w:val="28"/>
        </w:rPr>
      </w:pPr>
      <w:r>
        <w:rPr>
          <w:rFonts w:eastAsia="黑体"/>
          <w:sz w:val="28"/>
          <w:szCs w:val="28"/>
          <w:lang w:bidi="ar"/>
        </w:rPr>
        <w:t>城市道路与铁路交叉控制方式</w:t>
      </w:r>
    </w:p>
    <w:tbl>
      <w:tblPr>
        <w:tblStyle w:val="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39"/>
        <w:gridCol w:w="2577"/>
        <w:gridCol w:w="2201"/>
        <w:gridCol w:w="2053"/>
      </w:tblGrid>
      <w:tr w14:paraId="4614EF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6" w:hRule="atLeast"/>
          <w:jc w:val="center"/>
        </w:trPr>
        <w:tc>
          <w:tcPr>
            <w:tcW w:w="2239" w:type="dxa"/>
            <w:tcBorders>
              <w:top w:val="single" w:color="000000" w:sz="12" w:space="0"/>
              <w:left w:val="single" w:color="000000" w:sz="12" w:space="0"/>
              <w:bottom w:val="single" w:color="000000" w:sz="6" w:space="0"/>
              <w:right w:val="single" w:color="000000" w:sz="6" w:space="0"/>
            </w:tcBorders>
            <w:noWrap w:val="0"/>
            <w:vAlign w:val="center"/>
          </w:tcPr>
          <w:p w14:paraId="7D2D1659">
            <w:pPr>
              <w:widowControl/>
              <w:jc w:val="center"/>
              <w:rPr>
                <w:rFonts w:eastAsia="黑体"/>
                <w:szCs w:val="20"/>
              </w:rPr>
            </w:pPr>
            <w:r>
              <w:rPr>
                <w:rFonts w:eastAsia="黑体"/>
                <w:lang w:bidi="ar"/>
              </w:rPr>
              <mc:AlternateContent>
                <mc:Choice Requires="wps">
                  <w:drawing>
                    <wp:anchor distT="0" distB="0" distL="114300" distR="114300" simplePos="0" relativeHeight="251662336" behindDoc="0" locked="0" layoutInCell="1" allowOverlap="1">
                      <wp:simplePos x="0" y="0"/>
                      <wp:positionH relativeFrom="column">
                        <wp:posOffset>483235</wp:posOffset>
                      </wp:positionH>
                      <wp:positionV relativeFrom="paragraph">
                        <wp:posOffset>-27940</wp:posOffset>
                      </wp:positionV>
                      <wp:extent cx="855980" cy="544830"/>
                      <wp:effectExtent l="2540" t="3810" r="10160" b="15240"/>
                      <wp:wrapNone/>
                      <wp:docPr id="82" name="直接连接符 82"/>
                      <wp:cNvGraphicFramePr/>
                      <a:graphic xmlns:a="http://schemas.openxmlformats.org/drawingml/2006/main">
                        <a:graphicData uri="http://schemas.microsoft.com/office/word/2010/wordprocessingShape">
                          <wps:wsp>
                            <wps:cNvCnPr/>
                            <wps:spPr>
                              <a:xfrm>
                                <a:off x="0" y="0"/>
                                <a:ext cx="716915" cy="5461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8.05pt;margin-top:-2.2pt;height:42.9pt;width:67.4pt;z-index:251662336;mso-width-relative:page;mso-height-relative:page;" filled="f" stroked="t" coordsize="21600,21600" o:gfxdata="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sqFCHXAAAACAEAAA8AAAAAAAAAAQAgAAAAIgAAAGRycy9kb3du&#10;cmV2LnhtbFBLAQIUABQAAAAIAIdO4kAttPI1AAIAAPgDAAAOAAAAAAAAAAEAIAAAACYBAABkcnMv&#10;ZTJvRG9jLnhtbFBLBQYAAAAABgAGAFkBAACYBQAAAAA=&#10;">
                      <v:fill on="f" focussize="0,0"/>
                      <v:stroke color="#000000" joinstyle="round"/>
                      <v:imagedata o:title=""/>
                      <o:lock v:ext="edit" aspectratio="f"/>
                    </v:line>
                  </w:pict>
                </mc:Fallback>
              </mc:AlternateContent>
            </w:r>
            <w:r>
              <w:rPr>
                <w:rFonts w:eastAsia="黑体"/>
                <w:szCs w:val="20"/>
                <w:lang w:bidi="ar"/>
              </w:rPr>
              <w:t xml:space="preserve">           铁 路</w:t>
            </w:r>
          </w:p>
          <w:p w14:paraId="269D2461">
            <w:pPr>
              <w:widowControl/>
              <w:ind w:firstLine="315" w:firstLineChars="150"/>
              <w:rPr>
                <w:rFonts w:eastAsia="黑体"/>
                <w:szCs w:val="20"/>
              </w:rPr>
            </w:pPr>
            <w:r>
              <w:rPr>
                <w:rFonts w:eastAsia="黑体"/>
                <w:lang w:bidi="ar"/>
              </w:rPr>
              <mc:AlternateContent>
                <mc:Choice Requires="wps">
                  <w:drawing>
                    <wp:anchor distT="0" distB="0" distL="114300" distR="114300" simplePos="0" relativeHeight="251663360" behindDoc="0" locked="0" layoutInCell="1" allowOverlap="1">
                      <wp:simplePos x="0" y="0"/>
                      <wp:positionH relativeFrom="column">
                        <wp:posOffset>-97790</wp:posOffset>
                      </wp:positionH>
                      <wp:positionV relativeFrom="paragraph">
                        <wp:posOffset>85090</wp:posOffset>
                      </wp:positionV>
                      <wp:extent cx="1449705" cy="283210"/>
                      <wp:effectExtent l="635" t="4445" r="12700" b="17145"/>
                      <wp:wrapNone/>
                      <wp:docPr id="77" name="直接连接符 77"/>
                      <wp:cNvGraphicFramePr/>
                      <a:graphic xmlns:a="http://schemas.openxmlformats.org/drawingml/2006/main">
                        <a:graphicData uri="http://schemas.microsoft.com/office/word/2010/wordprocessingShape">
                          <wps:wsp>
                            <wps:cNvCnPr/>
                            <wps:spPr>
                              <a:xfrm>
                                <a:off x="0" y="0"/>
                                <a:ext cx="1390015" cy="2495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7pt;margin-top:6.7pt;height:22.3pt;width:114.15pt;z-index:251663360;mso-width-relative:page;mso-height-relative:page;" filled="f" stroked="t" coordsize="21600,21600" o:gfxdata="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1IaXdgAAAAJAQAADwAAAAAAAAABACAAAAAiAAAAZHJzL2Rvd25y&#10;ZXYueG1sUEsBAhQAFAAAAAgAh07iQP5JGp/+AQAA+QMAAA4AAAAAAAAAAQAgAAAAJwEAAGRycy9l&#10;Mm9Eb2MueG1sUEsFBgAAAAAGAAYAWQEAAJcFAAAAAA==&#10;">
                      <v:fill on="f" focussize="0,0"/>
                      <v:stroke color="#000000" joinstyle="round"/>
                      <v:imagedata o:title=""/>
                      <o:lock v:ext="edit" aspectratio="f"/>
                    </v:line>
                  </w:pict>
                </mc:Fallback>
              </mc:AlternateContent>
            </w:r>
            <w:r>
              <w:rPr>
                <w:rFonts w:eastAsia="黑体"/>
                <w:szCs w:val="20"/>
                <w:lang w:bidi="ar"/>
              </w:rPr>
              <w:t>交叉方式</w:t>
            </w:r>
          </w:p>
          <w:p w14:paraId="43E18CA6">
            <w:pPr>
              <w:ind w:firstLine="105" w:firstLineChars="50"/>
              <w:rPr>
                <w:rFonts w:eastAsia="黑体"/>
                <w:szCs w:val="20"/>
              </w:rPr>
            </w:pPr>
            <w:r>
              <w:rPr>
                <w:rFonts w:eastAsia="黑体"/>
                <w:szCs w:val="20"/>
                <w:lang w:bidi="ar"/>
              </w:rPr>
              <w:t>道 路</w:t>
            </w:r>
          </w:p>
        </w:tc>
        <w:tc>
          <w:tcPr>
            <w:tcW w:w="2577" w:type="dxa"/>
            <w:tcBorders>
              <w:top w:val="single" w:color="000000" w:sz="12" w:space="0"/>
              <w:left w:val="single" w:color="000000" w:sz="6" w:space="0"/>
              <w:bottom w:val="single" w:color="000000" w:sz="6" w:space="0"/>
              <w:right w:val="single" w:color="000000" w:sz="6" w:space="0"/>
            </w:tcBorders>
            <w:noWrap w:val="0"/>
            <w:vAlign w:val="center"/>
          </w:tcPr>
          <w:p w14:paraId="6316F69C">
            <w:pPr>
              <w:widowControl/>
              <w:jc w:val="center"/>
              <w:rPr>
                <w:rFonts w:eastAsia="黑体"/>
                <w:szCs w:val="20"/>
              </w:rPr>
            </w:pPr>
            <w:r>
              <w:rPr>
                <w:rFonts w:eastAsia="黑体"/>
                <w:szCs w:val="20"/>
                <w:lang w:bidi="ar"/>
              </w:rPr>
              <w:t>快速铁路、城际铁路</w:t>
            </w:r>
          </w:p>
        </w:tc>
        <w:tc>
          <w:tcPr>
            <w:tcW w:w="2201" w:type="dxa"/>
            <w:tcBorders>
              <w:top w:val="single" w:color="000000" w:sz="12" w:space="0"/>
              <w:left w:val="single" w:color="000000" w:sz="6" w:space="0"/>
              <w:bottom w:val="single" w:color="000000" w:sz="6" w:space="0"/>
              <w:right w:val="single" w:color="000000" w:sz="6" w:space="0"/>
            </w:tcBorders>
            <w:noWrap w:val="0"/>
            <w:vAlign w:val="center"/>
          </w:tcPr>
          <w:p w14:paraId="760F5758">
            <w:pPr>
              <w:widowControl/>
              <w:jc w:val="center"/>
              <w:rPr>
                <w:rFonts w:eastAsia="黑体"/>
                <w:szCs w:val="20"/>
              </w:rPr>
            </w:pPr>
            <w:r>
              <w:rPr>
                <w:rFonts w:eastAsia="黑体"/>
                <w:szCs w:val="20"/>
                <w:lang w:bidi="ar"/>
              </w:rPr>
              <w:t>干线</w:t>
            </w:r>
          </w:p>
          <w:p w14:paraId="2A2D9AAA">
            <w:pPr>
              <w:widowControl/>
              <w:jc w:val="center"/>
              <w:rPr>
                <w:rFonts w:eastAsia="黑体"/>
                <w:szCs w:val="20"/>
              </w:rPr>
            </w:pPr>
            <w:r>
              <w:rPr>
                <w:rFonts w:eastAsia="黑体"/>
                <w:szCs w:val="20"/>
                <w:lang w:bidi="ar"/>
              </w:rPr>
              <w:t>铁路</w:t>
            </w:r>
          </w:p>
        </w:tc>
        <w:tc>
          <w:tcPr>
            <w:tcW w:w="2053" w:type="dxa"/>
            <w:tcBorders>
              <w:top w:val="single" w:color="000000" w:sz="12" w:space="0"/>
              <w:left w:val="single" w:color="000000" w:sz="6" w:space="0"/>
              <w:bottom w:val="single" w:color="000000" w:sz="6" w:space="0"/>
              <w:right w:val="single" w:color="000000" w:sz="12" w:space="0"/>
            </w:tcBorders>
            <w:noWrap w:val="0"/>
            <w:vAlign w:val="center"/>
          </w:tcPr>
          <w:p w14:paraId="1292B873">
            <w:pPr>
              <w:widowControl/>
              <w:jc w:val="center"/>
              <w:rPr>
                <w:rFonts w:eastAsia="黑体"/>
                <w:szCs w:val="20"/>
              </w:rPr>
            </w:pPr>
            <w:r>
              <w:rPr>
                <w:rFonts w:eastAsia="黑体"/>
                <w:szCs w:val="20"/>
                <w:lang w:bidi="ar"/>
              </w:rPr>
              <w:t>专用线</w:t>
            </w:r>
          </w:p>
          <w:p w14:paraId="42411595">
            <w:pPr>
              <w:widowControl/>
              <w:jc w:val="center"/>
              <w:rPr>
                <w:rFonts w:eastAsia="黑体"/>
                <w:szCs w:val="20"/>
              </w:rPr>
            </w:pPr>
            <w:r>
              <w:rPr>
                <w:rFonts w:eastAsia="黑体"/>
                <w:szCs w:val="20"/>
                <w:lang w:bidi="ar"/>
              </w:rPr>
              <w:t>支  线</w:t>
            </w:r>
          </w:p>
        </w:tc>
      </w:tr>
      <w:tr w14:paraId="2DCE23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2239" w:type="dxa"/>
            <w:tcBorders>
              <w:top w:val="single" w:color="000000" w:sz="6" w:space="0"/>
              <w:left w:val="single" w:color="000000" w:sz="12" w:space="0"/>
              <w:bottom w:val="single" w:color="000000" w:sz="6" w:space="0"/>
              <w:right w:val="single" w:color="000000" w:sz="6" w:space="0"/>
            </w:tcBorders>
            <w:noWrap w:val="0"/>
            <w:vAlign w:val="center"/>
          </w:tcPr>
          <w:p w14:paraId="6D887DDD">
            <w:pPr>
              <w:widowControl/>
              <w:jc w:val="center"/>
              <w:rPr>
                <w:rFonts w:eastAsia="黑体"/>
                <w:szCs w:val="20"/>
              </w:rPr>
            </w:pPr>
            <w:r>
              <w:rPr>
                <w:rFonts w:eastAsia="黑体"/>
                <w:szCs w:val="20"/>
                <w:lang w:bidi="ar"/>
              </w:rPr>
              <w:t>快速路</w:t>
            </w:r>
          </w:p>
        </w:tc>
        <w:tc>
          <w:tcPr>
            <w:tcW w:w="2577" w:type="dxa"/>
            <w:tcBorders>
              <w:top w:val="single" w:color="000000" w:sz="6" w:space="0"/>
              <w:left w:val="single" w:color="000000" w:sz="6" w:space="0"/>
              <w:bottom w:val="single" w:color="000000" w:sz="6" w:space="0"/>
              <w:right w:val="single" w:color="000000" w:sz="6" w:space="0"/>
            </w:tcBorders>
            <w:noWrap w:val="0"/>
            <w:vAlign w:val="center"/>
          </w:tcPr>
          <w:p w14:paraId="122C7A54">
            <w:pPr>
              <w:widowControl/>
              <w:jc w:val="center"/>
              <w:rPr>
                <w:rFonts w:ascii="宋体" w:hAnsi="宋体"/>
                <w:szCs w:val="20"/>
              </w:rPr>
            </w:pPr>
            <w:r>
              <w:rPr>
                <w:rFonts w:ascii="宋体" w:hAnsi="宋体"/>
                <w:szCs w:val="20"/>
                <w:lang w:bidi="ar"/>
              </w:rPr>
              <w:t>立交</w:t>
            </w:r>
          </w:p>
        </w:tc>
        <w:tc>
          <w:tcPr>
            <w:tcW w:w="2201" w:type="dxa"/>
            <w:tcBorders>
              <w:top w:val="single" w:color="000000" w:sz="6" w:space="0"/>
              <w:left w:val="single" w:color="000000" w:sz="6" w:space="0"/>
              <w:bottom w:val="single" w:color="000000" w:sz="6" w:space="0"/>
              <w:right w:val="single" w:color="000000" w:sz="6" w:space="0"/>
            </w:tcBorders>
            <w:noWrap w:val="0"/>
            <w:vAlign w:val="center"/>
          </w:tcPr>
          <w:p w14:paraId="70558F7E">
            <w:pPr>
              <w:widowControl/>
              <w:jc w:val="center"/>
              <w:rPr>
                <w:rFonts w:ascii="宋体" w:hAnsi="宋体"/>
                <w:szCs w:val="20"/>
              </w:rPr>
            </w:pPr>
            <w:r>
              <w:rPr>
                <w:rFonts w:ascii="宋体" w:hAnsi="宋体"/>
                <w:szCs w:val="20"/>
                <w:lang w:bidi="ar"/>
              </w:rPr>
              <w:t>立交</w:t>
            </w:r>
          </w:p>
        </w:tc>
        <w:tc>
          <w:tcPr>
            <w:tcW w:w="2053" w:type="dxa"/>
            <w:tcBorders>
              <w:top w:val="single" w:color="000000" w:sz="6" w:space="0"/>
              <w:left w:val="single" w:color="000000" w:sz="6" w:space="0"/>
              <w:bottom w:val="single" w:color="000000" w:sz="6" w:space="0"/>
              <w:right w:val="single" w:color="000000" w:sz="12" w:space="0"/>
            </w:tcBorders>
            <w:noWrap w:val="0"/>
            <w:vAlign w:val="center"/>
          </w:tcPr>
          <w:p w14:paraId="48CAD678">
            <w:pPr>
              <w:widowControl/>
              <w:jc w:val="center"/>
              <w:rPr>
                <w:rFonts w:ascii="宋体" w:hAnsi="宋体"/>
                <w:szCs w:val="20"/>
              </w:rPr>
            </w:pPr>
            <w:r>
              <w:rPr>
                <w:rFonts w:ascii="宋体" w:hAnsi="宋体"/>
                <w:szCs w:val="20"/>
                <w:lang w:bidi="ar"/>
              </w:rPr>
              <w:t>立交</w:t>
            </w:r>
          </w:p>
        </w:tc>
      </w:tr>
      <w:tr w14:paraId="35634C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noWrap w:val="0"/>
            <w:vAlign w:val="center"/>
          </w:tcPr>
          <w:p w14:paraId="406156AC">
            <w:pPr>
              <w:widowControl/>
              <w:jc w:val="center"/>
              <w:rPr>
                <w:rFonts w:eastAsia="黑体"/>
                <w:szCs w:val="20"/>
              </w:rPr>
            </w:pPr>
            <w:r>
              <w:rPr>
                <w:rFonts w:eastAsia="黑体"/>
                <w:szCs w:val="20"/>
                <w:lang w:bidi="ar"/>
              </w:rPr>
              <w:t>主干路</w:t>
            </w:r>
          </w:p>
        </w:tc>
        <w:tc>
          <w:tcPr>
            <w:tcW w:w="2577" w:type="dxa"/>
            <w:tcBorders>
              <w:top w:val="single" w:color="000000" w:sz="6" w:space="0"/>
              <w:left w:val="single" w:color="000000" w:sz="6" w:space="0"/>
              <w:bottom w:val="single" w:color="000000" w:sz="6" w:space="0"/>
              <w:right w:val="single" w:color="000000" w:sz="6" w:space="0"/>
            </w:tcBorders>
            <w:noWrap w:val="0"/>
            <w:vAlign w:val="center"/>
          </w:tcPr>
          <w:p w14:paraId="3D2F84EF">
            <w:pPr>
              <w:widowControl/>
              <w:jc w:val="center"/>
              <w:rPr>
                <w:rFonts w:ascii="宋体" w:hAnsi="宋体"/>
                <w:szCs w:val="20"/>
              </w:rPr>
            </w:pPr>
            <w:r>
              <w:rPr>
                <w:rFonts w:ascii="宋体" w:hAnsi="宋体"/>
                <w:szCs w:val="20"/>
                <w:lang w:bidi="ar"/>
              </w:rPr>
              <w:t>立交</w:t>
            </w:r>
          </w:p>
        </w:tc>
        <w:tc>
          <w:tcPr>
            <w:tcW w:w="2201" w:type="dxa"/>
            <w:tcBorders>
              <w:top w:val="single" w:color="000000" w:sz="6" w:space="0"/>
              <w:left w:val="single" w:color="000000" w:sz="6" w:space="0"/>
              <w:bottom w:val="single" w:color="000000" w:sz="6" w:space="0"/>
              <w:right w:val="single" w:color="000000" w:sz="6" w:space="0"/>
            </w:tcBorders>
            <w:noWrap w:val="0"/>
            <w:vAlign w:val="center"/>
          </w:tcPr>
          <w:p w14:paraId="429B9149">
            <w:pPr>
              <w:widowControl/>
              <w:jc w:val="center"/>
              <w:rPr>
                <w:rFonts w:ascii="宋体" w:hAnsi="宋体"/>
                <w:szCs w:val="20"/>
              </w:rPr>
            </w:pPr>
            <w:r>
              <w:rPr>
                <w:rFonts w:ascii="宋体" w:hAnsi="宋体"/>
                <w:szCs w:val="20"/>
                <w:lang w:bidi="ar"/>
              </w:rPr>
              <w:t>立交</w:t>
            </w:r>
          </w:p>
        </w:tc>
        <w:tc>
          <w:tcPr>
            <w:tcW w:w="2053" w:type="dxa"/>
            <w:tcBorders>
              <w:top w:val="single" w:color="000000" w:sz="6" w:space="0"/>
              <w:left w:val="single" w:color="000000" w:sz="6" w:space="0"/>
              <w:bottom w:val="single" w:color="000000" w:sz="6" w:space="0"/>
              <w:right w:val="single" w:color="000000" w:sz="12" w:space="0"/>
            </w:tcBorders>
            <w:noWrap w:val="0"/>
            <w:vAlign w:val="center"/>
          </w:tcPr>
          <w:p w14:paraId="7A40EE19">
            <w:pPr>
              <w:widowControl/>
              <w:jc w:val="center"/>
              <w:rPr>
                <w:rFonts w:ascii="宋体" w:hAnsi="宋体"/>
                <w:szCs w:val="20"/>
              </w:rPr>
            </w:pPr>
            <w:r>
              <w:rPr>
                <w:rFonts w:ascii="宋体" w:hAnsi="宋体"/>
                <w:szCs w:val="20"/>
                <w:lang w:bidi="ar"/>
              </w:rPr>
              <w:t>立交</w:t>
            </w:r>
          </w:p>
        </w:tc>
      </w:tr>
      <w:tr w14:paraId="3DD2B4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noWrap w:val="0"/>
            <w:vAlign w:val="center"/>
          </w:tcPr>
          <w:p w14:paraId="73A03AD4">
            <w:pPr>
              <w:widowControl/>
              <w:jc w:val="center"/>
              <w:rPr>
                <w:rFonts w:eastAsia="黑体"/>
                <w:szCs w:val="20"/>
              </w:rPr>
            </w:pPr>
            <w:r>
              <w:rPr>
                <w:rFonts w:eastAsia="黑体"/>
                <w:szCs w:val="20"/>
                <w:lang w:bidi="ar"/>
              </w:rPr>
              <w:t>次干路</w:t>
            </w:r>
          </w:p>
        </w:tc>
        <w:tc>
          <w:tcPr>
            <w:tcW w:w="2577" w:type="dxa"/>
            <w:tcBorders>
              <w:top w:val="single" w:color="000000" w:sz="6" w:space="0"/>
              <w:left w:val="single" w:color="000000" w:sz="6" w:space="0"/>
              <w:bottom w:val="single" w:color="000000" w:sz="6" w:space="0"/>
              <w:right w:val="single" w:color="000000" w:sz="6" w:space="0"/>
            </w:tcBorders>
            <w:noWrap w:val="0"/>
            <w:vAlign w:val="center"/>
          </w:tcPr>
          <w:p w14:paraId="47FB5F4E">
            <w:pPr>
              <w:widowControl/>
              <w:jc w:val="center"/>
              <w:rPr>
                <w:rFonts w:ascii="宋体" w:hAnsi="宋体"/>
                <w:szCs w:val="20"/>
              </w:rPr>
            </w:pPr>
            <w:r>
              <w:rPr>
                <w:rFonts w:ascii="宋体" w:hAnsi="宋体"/>
                <w:szCs w:val="20"/>
                <w:lang w:bidi="ar"/>
              </w:rPr>
              <w:t>立交</w:t>
            </w:r>
          </w:p>
        </w:tc>
        <w:tc>
          <w:tcPr>
            <w:tcW w:w="2201" w:type="dxa"/>
            <w:tcBorders>
              <w:top w:val="single" w:color="000000" w:sz="6" w:space="0"/>
              <w:left w:val="single" w:color="000000" w:sz="6" w:space="0"/>
              <w:bottom w:val="single" w:color="000000" w:sz="6" w:space="0"/>
              <w:right w:val="single" w:color="000000" w:sz="6" w:space="0"/>
            </w:tcBorders>
            <w:noWrap w:val="0"/>
            <w:vAlign w:val="center"/>
          </w:tcPr>
          <w:p w14:paraId="59301D3D">
            <w:pPr>
              <w:widowControl/>
              <w:jc w:val="center"/>
              <w:rPr>
                <w:rFonts w:ascii="宋体" w:hAnsi="宋体"/>
                <w:szCs w:val="20"/>
              </w:rPr>
            </w:pPr>
            <w:r>
              <w:rPr>
                <w:rFonts w:ascii="宋体" w:hAnsi="宋体"/>
                <w:szCs w:val="20"/>
                <w:lang w:bidi="ar"/>
              </w:rPr>
              <w:t>立交</w:t>
            </w:r>
          </w:p>
        </w:tc>
        <w:tc>
          <w:tcPr>
            <w:tcW w:w="2053" w:type="dxa"/>
            <w:tcBorders>
              <w:top w:val="single" w:color="000000" w:sz="6" w:space="0"/>
              <w:left w:val="single" w:color="000000" w:sz="6" w:space="0"/>
              <w:bottom w:val="single" w:color="000000" w:sz="6" w:space="0"/>
              <w:right w:val="single" w:color="000000" w:sz="12" w:space="0"/>
            </w:tcBorders>
            <w:noWrap w:val="0"/>
            <w:vAlign w:val="center"/>
          </w:tcPr>
          <w:p w14:paraId="41ABE471">
            <w:pPr>
              <w:widowControl/>
              <w:jc w:val="center"/>
              <w:rPr>
                <w:rFonts w:ascii="宋体" w:hAnsi="宋体"/>
                <w:szCs w:val="20"/>
              </w:rPr>
            </w:pPr>
            <w:r>
              <w:rPr>
                <w:rFonts w:ascii="宋体" w:hAnsi="宋体"/>
                <w:szCs w:val="20"/>
                <w:lang w:bidi="ar"/>
              </w:rPr>
              <w:t>平交</w:t>
            </w:r>
          </w:p>
        </w:tc>
      </w:tr>
      <w:tr w14:paraId="6DB973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12" w:space="0"/>
              <w:right w:val="single" w:color="000000" w:sz="6" w:space="0"/>
            </w:tcBorders>
            <w:noWrap w:val="0"/>
            <w:vAlign w:val="center"/>
          </w:tcPr>
          <w:p w14:paraId="04F7AE8C">
            <w:pPr>
              <w:widowControl/>
              <w:jc w:val="center"/>
              <w:rPr>
                <w:rFonts w:eastAsia="黑体"/>
                <w:szCs w:val="20"/>
              </w:rPr>
            </w:pPr>
            <w:r>
              <w:rPr>
                <w:rFonts w:eastAsia="黑体"/>
                <w:szCs w:val="20"/>
                <w:lang w:bidi="ar"/>
              </w:rPr>
              <w:t>支路</w:t>
            </w:r>
          </w:p>
        </w:tc>
        <w:tc>
          <w:tcPr>
            <w:tcW w:w="2577" w:type="dxa"/>
            <w:tcBorders>
              <w:top w:val="single" w:color="000000" w:sz="6" w:space="0"/>
              <w:left w:val="single" w:color="000000" w:sz="6" w:space="0"/>
              <w:bottom w:val="single" w:color="000000" w:sz="12" w:space="0"/>
              <w:right w:val="single" w:color="000000" w:sz="6" w:space="0"/>
            </w:tcBorders>
            <w:noWrap w:val="0"/>
            <w:vAlign w:val="center"/>
          </w:tcPr>
          <w:p w14:paraId="4E67E75D">
            <w:pPr>
              <w:widowControl/>
              <w:jc w:val="center"/>
              <w:rPr>
                <w:rFonts w:ascii="宋体" w:hAnsi="宋体"/>
                <w:szCs w:val="20"/>
              </w:rPr>
            </w:pPr>
            <w:r>
              <w:rPr>
                <w:rFonts w:ascii="宋体" w:hAnsi="宋体"/>
                <w:szCs w:val="20"/>
                <w:lang w:bidi="ar"/>
              </w:rPr>
              <w:t>立交</w:t>
            </w:r>
          </w:p>
        </w:tc>
        <w:tc>
          <w:tcPr>
            <w:tcW w:w="2201" w:type="dxa"/>
            <w:tcBorders>
              <w:top w:val="single" w:color="000000" w:sz="6" w:space="0"/>
              <w:left w:val="single" w:color="000000" w:sz="6" w:space="0"/>
              <w:bottom w:val="single" w:color="000000" w:sz="12" w:space="0"/>
              <w:right w:val="single" w:color="000000" w:sz="6" w:space="0"/>
            </w:tcBorders>
            <w:noWrap w:val="0"/>
            <w:vAlign w:val="center"/>
          </w:tcPr>
          <w:p w14:paraId="7681DF3F">
            <w:pPr>
              <w:widowControl/>
              <w:jc w:val="center"/>
              <w:rPr>
                <w:rFonts w:ascii="宋体" w:hAnsi="宋体"/>
                <w:szCs w:val="20"/>
              </w:rPr>
            </w:pPr>
            <w:r>
              <w:rPr>
                <w:rFonts w:ascii="宋体" w:hAnsi="宋体"/>
                <w:szCs w:val="20"/>
                <w:lang w:bidi="ar"/>
              </w:rPr>
              <w:t>立交</w:t>
            </w:r>
          </w:p>
        </w:tc>
        <w:tc>
          <w:tcPr>
            <w:tcW w:w="2053" w:type="dxa"/>
            <w:tcBorders>
              <w:top w:val="single" w:color="000000" w:sz="6" w:space="0"/>
              <w:left w:val="single" w:color="000000" w:sz="6" w:space="0"/>
              <w:bottom w:val="single" w:color="000000" w:sz="12" w:space="0"/>
              <w:right w:val="single" w:color="000000" w:sz="12" w:space="0"/>
            </w:tcBorders>
            <w:noWrap w:val="0"/>
            <w:vAlign w:val="center"/>
          </w:tcPr>
          <w:p w14:paraId="45C5CB54">
            <w:pPr>
              <w:widowControl/>
              <w:jc w:val="center"/>
              <w:rPr>
                <w:rFonts w:ascii="宋体" w:hAnsi="宋体"/>
                <w:szCs w:val="20"/>
              </w:rPr>
            </w:pPr>
            <w:r>
              <w:rPr>
                <w:rFonts w:ascii="宋体" w:hAnsi="宋体"/>
                <w:szCs w:val="20"/>
                <w:lang w:bidi="ar"/>
              </w:rPr>
              <w:t>平交</w:t>
            </w:r>
          </w:p>
        </w:tc>
      </w:tr>
    </w:tbl>
    <w:p w14:paraId="3FF82986">
      <w:pPr>
        <w:snapToGrid w:val="0"/>
        <w:spacing w:before="120" w:beforeLines="50"/>
        <w:ind w:left="1086" w:leftChars="1" w:hanging="1084" w:hangingChars="600"/>
        <w:rPr>
          <w:rFonts w:eastAsia="仿宋_GB2312"/>
          <w:b/>
          <w:sz w:val="18"/>
          <w:szCs w:val="18"/>
        </w:rPr>
      </w:pPr>
    </w:p>
    <w:p w14:paraId="01348C63">
      <w:pPr>
        <w:rPr>
          <w:rFonts w:eastAsia="黑体"/>
          <w:sz w:val="28"/>
          <w:szCs w:val="28"/>
          <w:lang w:bidi="ar"/>
        </w:rPr>
      </w:pPr>
      <w:r>
        <w:rPr>
          <w:rFonts w:eastAsia="黑体"/>
          <w:sz w:val="28"/>
          <w:szCs w:val="28"/>
          <w:lang w:bidi="ar"/>
        </w:rPr>
        <w:t xml:space="preserve">附表7—8 </w:t>
      </w:r>
    </w:p>
    <w:p w14:paraId="05BD3E6F">
      <w:pPr>
        <w:autoSpaceDE w:val="0"/>
        <w:autoSpaceDN w:val="0"/>
        <w:adjustRightInd w:val="0"/>
        <w:jc w:val="center"/>
        <w:rPr>
          <w:rFonts w:eastAsia="仿宋_GB2312"/>
          <w:b/>
          <w:sz w:val="32"/>
          <w:szCs w:val="28"/>
        </w:rPr>
      </w:pPr>
      <w:r>
        <w:rPr>
          <w:rFonts w:eastAsia="黑体"/>
          <w:sz w:val="28"/>
          <w:szCs w:val="28"/>
          <w:lang w:bidi="ar"/>
        </w:rPr>
        <w:t>城市道路控制净空（单位：m）</w:t>
      </w:r>
    </w:p>
    <w:tbl>
      <w:tblPr>
        <w:tblStyle w:val="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39"/>
        <w:gridCol w:w="3516"/>
        <w:gridCol w:w="3318"/>
      </w:tblGrid>
      <w:tr w14:paraId="4D8289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42" w:hRule="atLeast"/>
          <w:jc w:val="center"/>
        </w:trPr>
        <w:tc>
          <w:tcPr>
            <w:tcW w:w="2239" w:type="dxa"/>
            <w:tcBorders>
              <w:top w:val="single" w:color="000000" w:sz="12" w:space="0"/>
              <w:left w:val="single" w:color="000000" w:sz="12" w:space="0"/>
              <w:bottom w:val="single" w:color="000000" w:sz="6" w:space="0"/>
              <w:right w:val="single" w:color="000000" w:sz="6" w:space="0"/>
            </w:tcBorders>
            <w:noWrap w:val="0"/>
            <w:vAlign w:val="center"/>
          </w:tcPr>
          <w:p w14:paraId="13A80725">
            <w:pPr>
              <w:widowControl/>
              <w:jc w:val="center"/>
              <w:rPr>
                <w:rFonts w:eastAsia="黑体"/>
                <w:szCs w:val="20"/>
                <w:lang w:bidi="ar"/>
              </w:rPr>
            </w:pPr>
            <w:r>
              <w:rPr>
                <w:rFonts w:eastAsia="黑体"/>
                <w:lang w:bidi="ar"/>
              </w:rPr>
              <mc:AlternateContent>
                <mc:Choice Requires="wps">
                  <w:drawing>
                    <wp:anchor distT="0" distB="0" distL="114300" distR="114300" simplePos="0" relativeHeight="251660288" behindDoc="0" locked="0" layoutInCell="1" allowOverlap="1">
                      <wp:simplePos x="0" y="0"/>
                      <wp:positionH relativeFrom="column">
                        <wp:posOffset>518795</wp:posOffset>
                      </wp:positionH>
                      <wp:positionV relativeFrom="paragraph">
                        <wp:posOffset>1905</wp:posOffset>
                      </wp:positionV>
                      <wp:extent cx="812165" cy="549910"/>
                      <wp:effectExtent l="2540" t="3810" r="8255" b="10160"/>
                      <wp:wrapNone/>
                      <wp:docPr id="81" name="直接连接符 81"/>
                      <wp:cNvGraphicFramePr/>
                      <a:graphic xmlns:a="http://schemas.openxmlformats.org/drawingml/2006/main">
                        <a:graphicData uri="http://schemas.microsoft.com/office/word/2010/wordprocessingShape">
                          <wps:wsp>
                            <wps:cNvCnPr/>
                            <wps:spPr>
                              <a:xfrm>
                                <a:off x="0" y="0"/>
                                <a:ext cx="819150" cy="5511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0.85pt;margin-top:0.15pt;height:43.3pt;width:63.95pt;z-index:251660288;mso-width-relative:page;mso-height-relative:page;" filled="f" stroked="t" coordsize="21600,21600" o:gfxdata="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sOeiNQAAAAGAQAADwAAAAAAAAABACAAAAAiAAAAZHJzL2Rvd25yZXYu&#10;eG1sUEsBAhQAFAAAAAgAh07iQK03uK7/AQAA+AMAAA4AAAAAAAAAAQAgAAAAIwEAAGRycy9lMm9E&#10;b2MueG1sUEsFBgAAAAAGAAYAWQEAAJQFAAAAAA==&#10;">
                      <v:fill on="f" focussize="0,0"/>
                      <v:stroke color="#000000" joinstyle="round"/>
                      <v:imagedata o:title=""/>
                      <o:lock v:ext="edit" aspectratio="f"/>
                    </v:line>
                  </w:pict>
                </mc:Fallback>
              </mc:AlternateContent>
            </w:r>
            <w:r>
              <w:rPr>
                <w:rFonts w:eastAsia="黑体"/>
                <w:szCs w:val="20"/>
                <w:lang w:bidi="ar"/>
              </w:rPr>
              <w:t xml:space="preserve">               通行</w:t>
            </w:r>
          </w:p>
          <w:p w14:paraId="0261C9CF">
            <w:pPr>
              <w:widowControl/>
              <w:rPr>
                <w:rFonts w:eastAsia="黑体"/>
                <w:szCs w:val="20"/>
              </w:rPr>
            </w:pPr>
            <w:r>
              <w:rPr>
                <w:rFonts w:eastAsia="黑体"/>
                <w:lang w:bidi="ar"/>
              </w:rPr>
              <mc:AlternateContent>
                <mc:Choice Requires="wps">
                  <w:drawing>
                    <wp:anchor distT="0" distB="0" distL="114300" distR="114300" simplePos="0" relativeHeight="251661312" behindDoc="0" locked="0" layoutInCell="1" allowOverlap="1">
                      <wp:simplePos x="0" y="0"/>
                      <wp:positionH relativeFrom="column">
                        <wp:posOffset>-41275</wp:posOffset>
                      </wp:positionH>
                      <wp:positionV relativeFrom="paragraph">
                        <wp:posOffset>130175</wp:posOffset>
                      </wp:positionV>
                      <wp:extent cx="1354455" cy="276225"/>
                      <wp:effectExtent l="635" t="4445" r="1270" b="8890"/>
                      <wp:wrapNone/>
                      <wp:docPr id="78" name="直接连接符 78"/>
                      <wp:cNvGraphicFramePr/>
                      <a:graphic xmlns:a="http://schemas.openxmlformats.org/drawingml/2006/main">
                        <a:graphicData uri="http://schemas.microsoft.com/office/word/2010/wordprocessingShape">
                          <wps:wsp>
                            <wps:cNvCnPr/>
                            <wps:spPr>
                              <a:xfrm>
                                <a:off x="0" y="0"/>
                                <a:ext cx="1414780" cy="25209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25pt;margin-top:10.25pt;height:21.75pt;width:106.65pt;z-index:251661312;mso-width-relative:page;mso-height-relative:page;" filled="f" stroked="t" coordsize="21600,21600" o:gfxdata="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DnZlnWAAAACAEAAA8AAAAAAAAAAQAgAAAAIgAAAGRycy9kb3ducmV2&#10;LnhtbFBLAQIUABQAAAAIAIdO4kCIs+zX/gEAAPkDAAAOAAAAAAAAAAEAIAAAACUBAABkcnMvZTJv&#10;RG9jLnhtbFBLBQYAAAAABgAGAFkBAACVBQAAAAA=&#10;">
                      <v:fill on="f" focussize="0,0"/>
                      <v:stroke color="#000000" joinstyle="round"/>
                      <v:imagedata o:title=""/>
                      <o:lock v:ext="edit" aspectratio="f"/>
                    </v:line>
                  </w:pict>
                </mc:Fallback>
              </mc:AlternateContent>
            </w:r>
            <w:r>
              <w:rPr>
                <w:rFonts w:eastAsia="黑体"/>
                <w:szCs w:val="20"/>
                <w:lang w:bidi="ar"/>
              </w:rPr>
              <w:t xml:space="preserve">  净空高度     车辆</w:t>
            </w:r>
          </w:p>
          <w:p w14:paraId="53168CE6">
            <w:pPr>
              <w:spacing w:before="120" w:beforeLines="50"/>
              <w:ind w:firstLine="210" w:firstLineChars="100"/>
              <w:rPr>
                <w:rFonts w:eastAsia="黑体"/>
                <w:szCs w:val="20"/>
              </w:rPr>
            </w:pPr>
            <w:r>
              <w:rPr>
                <w:rFonts w:eastAsia="黑体"/>
                <w:szCs w:val="20"/>
                <w:lang w:bidi="ar"/>
              </w:rPr>
              <w:t>道 路</w:t>
            </w:r>
          </w:p>
        </w:tc>
        <w:tc>
          <w:tcPr>
            <w:tcW w:w="3516" w:type="dxa"/>
            <w:tcBorders>
              <w:top w:val="single" w:color="000000" w:sz="12" w:space="0"/>
              <w:left w:val="single" w:color="000000" w:sz="6" w:space="0"/>
              <w:bottom w:val="single" w:color="000000" w:sz="6" w:space="0"/>
              <w:right w:val="single" w:color="000000" w:sz="6" w:space="0"/>
            </w:tcBorders>
            <w:noWrap w:val="0"/>
            <w:vAlign w:val="center"/>
          </w:tcPr>
          <w:p w14:paraId="2B6FD60A">
            <w:pPr>
              <w:widowControl/>
              <w:jc w:val="center"/>
              <w:rPr>
                <w:rFonts w:eastAsia="黑体"/>
                <w:szCs w:val="20"/>
              </w:rPr>
            </w:pPr>
            <w:r>
              <w:rPr>
                <w:rFonts w:eastAsia="黑体"/>
                <w:szCs w:val="20"/>
                <w:lang w:bidi="ar"/>
              </w:rPr>
              <w:t>机动车</w:t>
            </w:r>
          </w:p>
        </w:tc>
        <w:tc>
          <w:tcPr>
            <w:tcW w:w="3318" w:type="dxa"/>
            <w:tcBorders>
              <w:top w:val="single" w:color="000000" w:sz="12" w:space="0"/>
              <w:left w:val="single" w:color="000000" w:sz="6" w:space="0"/>
              <w:bottom w:val="single" w:color="000000" w:sz="6" w:space="0"/>
              <w:right w:val="single" w:color="000000" w:sz="12" w:space="0"/>
            </w:tcBorders>
            <w:noWrap w:val="0"/>
            <w:vAlign w:val="center"/>
          </w:tcPr>
          <w:p w14:paraId="037DB537">
            <w:pPr>
              <w:widowControl/>
              <w:jc w:val="center"/>
              <w:rPr>
                <w:rFonts w:eastAsia="黑体"/>
                <w:szCs w:val="20"/>
              </w:rPr>
            </w:pPr>
            <w:r>
              <w:rPr>
                <w:rFonts w:eastAsia="黑体"/>
                <w:szCs w:val="20"/>
                <w:lang w:bidi="ar"/>
              </w:rPr>
              <w:t>非机动车、人行</w:t>
            </w:r>
          </w:p>
        </w:tc>
      </w:tr>
      <w:tr w14:paraId="612F66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noWrap w:val="0"/>
            <w:vAlign w:val="center"/>
          </w:tcPr>
          <w:p w14:paraId="3A115CA9">
            <w:pPr>
              <w:widowControl/>
              <w:jc w:val="center"/>
              <w:rPr>
                <w:rFonts w:eastAsia="黑体"/>
                <w:szCs w:val="20"/>
              </w:rPr>
            </w:pPr>
            <w:r>
              <w:rPr>
                <w:rFonts w:eastAsia="黑体"/>
                <w:szCs w:val="20"/>
                <w:lang w:bidi="ar"/>
              </w:rPr>
              <w:t>快速路</w:t>
            </w:r>
          </w:p>
        </w:tc>
        <w:tc>
          <w:tcPr>
            <w:tcW w:w="3516" w:type="dxa"/>
            <w:tcBorders>
              <w:top w:val="single" w:color="000000" w:sz="6" w:space="0"/>
              <w:left w:val="single" w:color="000000" w:sz="6" w:space="0"/>
              <w:bottom w:val="single" w:color="000000" w:sz="6" w:space="0"/>
              <w:right w:val="single" w:color="000000" w:sz="6" w:space="0"/>
            </w:tcBorders>
            <w:noWrap w:val="0"/>
            <w:vAlign w:val="center"/>
          </w:tcPr>
          <w:p w14:paraId="763268CA">
            <w:pPr>
              <w:widowControl/>
              <w:jc w:val="center"/>
              <w:rPr>
                <w:rFonts w:eastAsia="仿宋"/>
                <w:szCs w:val="20"/>
              </w:rPr>
            </w:pPr>
            <w:r>
              <w:rPr>
                <w:rFonts w:eastAsia="仿宋"/>
                <w:szCs w:val="20"/>
                <w:lang w:bidi="ar"/>
              </w:rPr>
              <w:t>≥5.0</w:t>
            </w:r>
          </w:p>
        </w:tc>
        <w:tc>
          <w:tcPr>
            <w:tcW w:w="3318" w:type="dxa"/>
            <w:tcBorders>
              <w:top w:val="single" w:color="000000" w:sz="6" w:space="0"/>
              <w:left w:val="single" w:color="000000" w:sz="6" w:space="0"/>
              <w:bottom w:val="single" w:color="000000" w:sz="6" w:space="0"/>
              <w:right w:val="single" w:color="000000" w:sz="12" w:space="0"/>
            </w:tcBorders>
            <w:noWrap w:val="0"/>
            <w:vAlign w:val="center"/>
          </w:tcPr>
          <w:p w14:paraId="22995118">
            <w:pPr>
              <w:widowControl/>
              <w:jc w:val="center"/>
              <w:rPr>
                <w:rFonts w:eastAsia="仿宋"/>
                <w:szCs w:val="20"/>
              </w:rPr>
            </w:pPr>
            <w:r>
              <w:rPr>
                <w:rFonts w:eastAsia="仿宋"/>
                <w:szCs w:val="20"/>
                <w:lang w:bidi="ar"/>
              </w:rPr>
              <w:t>≥2.8</w:t>
            </w:r>
          </w:p>
        </w:tc>
      </w:tr>
      <w:tr w14:paraId="4D0912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noWrap w:val="0"/>
            <w:vAlign w:val="center"/>
          </w:tcPr>
          <w:p w14:paraId="1C93EE20">
            <w:pPr>
              <w:widowControl/>
              <w:jc w:val="center"/>
              <w:rPr>
                <w:rFonts w:eastAsia="黑体"/>
                <w:szCs w:val="20"/>
              </w:rPr>
            </w:pPr>
            <w:r>
              <w:rPr>
                <w:rFonts w:eastAsia="黑体"/>
                <w:szCs w:val="20"/>
                <w:lang w:bidi="ar"/>
              </w:rPr>
              <w:t>主干路</w:t>
            </w:r>
          </w:p>
        </w:tc>
        <w:tc>
          <w:tcPr>
            <w:tcW w:w="3516" w:type="dxa"/>
            <w:tcBorders>
              <w:top w:val="single" w:color="000000" w:sz="6" w:space="0"/>
              <w:left w:val="single" w:color="000000" w:sz="6" w:space="0"/>
              <w:bottom w:val="single" w:color="000000" w:sz="6" w:space="0"/>
              <w:right w:val="single" w:color="000000" w:sz="6" w:space="0"/>
            </w:tcBorders>
            <w:noWrap w:val="0"/>
            <w:vAlign w:val="center"/>
          </w:tcPr>
          <w:p w14:paraId="4C284E70">
            <w:pPr>
              <w:widowControl/>
              <w:jc w:val="center"/>
              <w:rPr>
                <w:rFonts w:eastAsia="仿宋"/>
                <w:szCs w:val="20"/>
              </w:rPr>
            </w:pPr>
            <w:r>
              <w:rPr>
                <w:rFonts w:eastAsia="仿宋"/>
                <w:szCs w:val="20"/>
                <w:lang w:bidi="ar"/>
              </w:rPr>
              <w:t>≥5.0</w:t>
            </w:r>
          </w:p>
        </w:tc>
        <w:tc>
          <w:tcPr>
            <w:tcW w:w="3318" w:type="dxa"/>
            <w:tcBorders>
              <w:top w:val="single" w:color="000000" w:sz="6" w:space="0"/>
              <w:left w:val="single" w:color="000000" w:sz="6" w:space="0"/>
              <w:bottom w:val="single" w:color="000000" w:sz="6" w:space="0"/>
              <w:right w:val="single" w:color="000000" w:sz="12" w:space="0"/>
            </w:tcBorders>
            <w:noWrap w:val="0"/>
            <w:vAlign w:val="center"/>
          </w:tcPr>
          <w:p w14:paraId="08763A55">
            <w:pPr>
              <w:widowControl/>
              <w:jc w:val="center"/>
              <w:rPr>
                <w:rFonts w:eastAsia="仿宋"/>
                <w:szCs w:val="20"/>
              </w:rPr>
            </w:pPr>
            <w:r>
              <w:rPr>
                <w:rFonts w:eastAsia="仿宋"/>
                <w:szCs w:val="20"/>
                <w:lang w:bidi="ar"/>
              </w:rPr>
              <w:t>≥2.8</w:t>
            </w:r>
          </w:p>
        </w:tc>
      </w:tr>
      <w:tr w14:paraId="4CDD8C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noWrap w:val="0"/>
            <w:vAlign w:val="center"/>
          </w:tcPr>
          <w:p w14:paraId="4217BF8B">
            <w:pPr>
              <w:widowControl/>
              <w:jc w:val="center"/>
              <w:rPr>
                <w:rFonts w:eastAsia="黑体"/>
                <w:szCs w:val="20"/>
              </w:rPr>
            </w:pPr>
            <w:r>
              <w:rPr>
                <w:rFonts w:eastAsia="黑体"/>
                <w:szCs w:val="20"/>
                <w:lang w:bidi="ar"/>
              </w:rPr>
              <w:t>次干路</w:t>
            </w:r>
          </w:p>
        </w:tc>
        <w:tc>
          <w:tcPr>
            <w:tcW w:w="3516" w:type="dxa"/>
            <w:tcBorders>
              <w:top w:val="single" w:color="000000" w:sz="6" w:space="0"/>
              <w:left w:val="single" w:color="000000" w:sz="6" w:space="0"/>
              <w:bottom w:val="single" w:color="000000" w:sz="6" w:space="0"/>
              <w:right w:val="single" w:color="000000" w:sz="6" w:space="0"/>
            </w:tcBorders>
            <w:noWrap w:val="0"/>
            <w:vAlign w:val="center"/>
          </w:tcPr>
          <w:p w14:paraId="09E5C465">
            <w:pPr>
              <w:widowControl/>
              <w:jc w:val="center"/>
              <w:rPr>
                <w:rFonts w:eastAsia="仿宋"/>
                <w:szCs w:val="20"/>
              </w:rPr>
            </w:pPr>
            <w:r>
              <w:rPr>
                <w:rFonts w:eastAsia="仿宋"/>
                <w:szCs w:val="20"/>
                <w:lang w:bidi="ar"/>
              </w:rPr>
              <w:t>≥4.5</w:t>
            </w:r>
          </w:p>
        </w:tc>
        <w:tc>
          <w:tcPr>
            <w:tcW w:w="3318" w:type="dxa"/>
            <w:tcBorders>
              <w:top w:val="single" w:color="000000" w:sz="6" w:space="0"/>
              <w:left w:val="single" w:color="000000" w:sz="6" w:space="0"/>
              <w:bottom w:val="single" w:color="000000" w:sz="6" w:space="0"/>
              <w:right w:val="single" w:color="000000" w:sz="12" w:space="0"/>
            </w:tcBorders>
            <w:noWrap w:val="0"/>
            <w:vAlign w:val="center"/>
          </w:tcPr>
          <w:p w14:paraId="03715CC8">
            <w:pPr>
              <w:widowControl/>
              <w:jc w:val="center"/>
              <w:rPr>
                <w:rFonts w:eastAsia="仿宋"/>
                <w:szCs w:val="20"/>
              </w:rPr>
            </w:pPr>
            <w:r>
              <w:rPr>
                <w:rFonts w:eastAsia="仿宋"/>
                <w:szCs w:val="20"/>
                <w:lang w:bidi="ar"/>
              </w:rPr>
              <w:t>≥2.8</w:t>
            </w:r>
          </w:p>
        </w:tc>
      </w:tr>
      <w:tr w14:paraId="6D4A5F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12" w:space="0"/>
              <w:right w:val="single" w:color="000000" w:sz="6" w:space="0"/>
            </w:tcBorders>
            <w:noWrap w:val="0"/>
            <w:vAlign w:val="center"/>
          </w:tcPr>
          <w:p w14:paraId="5BDE111D">
            <w:pPr>
              <w:widowControl/>
              <w:jc w:val="center"/>
              <w:rPr>
                <w:rFonts w:eastAsia="黑体"/>
                <w:szCs w:val="20"/>
              </w:rPr>
            </w:pPr>
            <w:r>
              <w:rPr>
                <w:rFonts w:eastAsia="黑体"/>
                <w:szCs w:val="20"/>
                <w:lang w:bidi="ar"/>
              </w:rPr>
              <w:t>支路</w:t>
            </w:r>
          </w:p>
        </w:tc>
        <w:tc>
          <w:tcPr>
            <w:tcW w:w="3516" w:type="dxa"/>
            <w:tcBorders>
              <w:top w:val="single" w:color="000000" w:sz="6" w:space="0"/>
              <w:left w:val="single" w:color="000000" w:sz="6" w:space="0"/>
              <w:bottom w:val="single" w:color="000000" w:sz="12" w:space="0"/>
              <w:right w:val="single" w:color="000000" w:sz="6" w:space="0"/>
            </w:tcBorders>
            <w:noWrap w:val="0"/>
            <w:vAlign w:val="center"/>
          </w:tcPr>
          <w:p w14:paraId="39A6B14B">
            <w:pPr>
              <w:widowControl/>
              <w:jc w:val="center"/>
              <w:rPr>
                <w:rFonts w:eastAsia="仿宋"/>
                <w:szCs w:val="20"/>
              </w:rPr>
            </w:pPr>
            <w:r>
              <w:rPr>
                <w:rFonts w:eastAsia="仿宋"/>
                <w:szCs w:val="20"/>
                <w:lang w:bidi="ar"/>
              </w:rPr>
              <w:t>≥4.5</w:t>
            </w:r>
          </w:p>
        </w:tc>
        <w:tc>
          <w:tcPr>
            <w:tcW w:w="3318" w:type="dxa"/>
            <w:tcBorders>
              <w:top w:val="single" w:color="000000" w:sz="6" w:space="0"/>
              <w:left w:val="single" w:color="000000" w:sz="6" w:space="0"/>
              <w:bottom w:val="single" w:color="000000" w:sz="12" w:space="0"/>
              <w:right w:val="single" w:color="000000" w:sz="12" w:space="0"/>
            </w:tcBorders>
            <w:noWrap w:val="0"/>
            <w:vAlign w:val="center"/>
          </w:tcPr>
          <w:p w14:paraId="73E899D0">
            <w:pPr>
              <w:widowControl/>
              <w:jc w:val="center"/>
              <w:rPr>
                <w:rFonts w:eastAsia="仿宋"/>
                <w:szCs w:val="20"/>
              </w:rPr>
            </w:pPr>
            <w:r>
              <w:rPr>
                <w:rFonts w:eastAsia="仿宋"/>
                <w:szCs w:val="20"/>
                <w:lang w:bidi="ar"/>
              </w:rPr>
              <w:t>≥2.6</w:t>
            </w:r>
          </w:p>
        </w:tc>
      </w:tr>
    </w:tbl>
    <w:p w14:paraId="5F521FD7">
      <w:pPr>
        <w:snapToGrid w:val="0"/>
        <w:spacing w:before="120" w:beforeLines="50" w:line="240" w:lineRule="exact"/>
        <w:ind w:firstLine="422" w:firstLineChars="200"/>
        <w:rPr>
          <w:rFonts w:ascii="宋体" w:hAnsi="宋体"/>
          <w:bCs/>
          <w:szCs w:val="21"/>
          <w:lang w:bidi="ar"/>
        </w:rPr>
      </w:pPr>
      <w:r>
        <w:rPr>
          <w:rFonts w:ascii="宋体" w:hAnsi="宋体"/>
          <w:b/>
          <w:bCs/>
          <w:szCs w:val="21"/>
          <w:lang w:bidi="ar"/>
        </w:rPr>
        <w:t>注：</w:t>
      </w:r>
      <w:r>
        <w:rPr>
          <w:rFonts w:ascii="宋体" w:hAnsi="宋体"/>
          <w:bCs/>
          <w:szCs w:val="21"/>
          <w:lang w:bidi="ar"/>
        </w:rPr>
        <w:t>当仅通行小客车时，城市道路控制净空可适度降低，最小净空可采用3.5米。</w:t>
      </w:r>
    </w:p>
    <w:p w14:paraId="1C85A50A">
      <w:pPr>
        <w:snapToGrid w:val="0"/>
        <w:spacing w:before="120" w:beforeLines="50" w:line="240" w:lineRule="exact"/>
        <w:ind w:firstLine="420" w:firstLineChars="200"/>
        <w:rPr>
          <w:rFonts w:ascii="宋体" w:hAnsi="宋体"/>
          <w:bCs/>
          <w:szCs w:val="21"/>
          <w:lang w:bidi="ar"/>
        </w:rPr>
        <w:sectPr>
          <w:pgSz w:w="11915" w:h="16840"/>
          <w:pgMar w:top="1701" w:right="1531" w:bottom="1758" w:left="1644" w:header="851" w:footer="1361" w:gutter="0"/>
          <w:pgNumType w:fmt="numberInDash"/>
          <w:cols w:space="720" w:num="1"/>
          <w:docGrid w:linePitch="326" w:charSpace="0"/>
        </w:sectPr>
      </w:pPr>
    </w:p>
    <w:p w14:paraId="1406A7CF">
      <w:pPr>
        <w:rPr>
          <w:rFonts w:eastAsia="黑体"/>
          <w:sz w:val="28"/>
          <w:szCs w:val="28"/>
          <w:lang w:bidi="ar"/>
        </w:rPr>
      </w:pPr>
      <w:r>
        <w:rPr>
          <w:rFonts w:eastAsia="黑体"/>
          <w:sz w:val="28"/>
          <w:szCs w:val="28"/>
          <w:lang w:bidi="ar"/>
        </w:rPr>
        <w:t>附表8—1</w:t>
      </w:r>
    </w:p>
    <w:p w14:paraId="5C136AF2">
      <w:pPr>
        <w:snapToGrid w:val="0"/>
        <w:spacing w:after="48" w:afterLines="20"/>
        <w:jc w:val="center"/>
        <w:rPr>
          <w:rFonts w:eastAsia="仿宋_GB2312"/>
          <w:b/>
          <w:szCs w:val="20"/>
        </w:rPr>
      </w:pPr>
    </w:p>
    <w:p w14:paraId="6AEFA95B">
      <w:pPr>
        <w:autoSpaceDE w:val="0"/>
        <w:autoSpaceDN w:val="0"/>
        <w:adjustRightInd w:val="0"/>
        <w:jc w:val="center"/>
        <w:rPr>
          <w:rFonts w:eastAsia="黑体"/>
          <w:sz w:val="28"/>
          <w:szCs w:val="28"/>
          <w:lang w:bidi="ar"/>
        </w:rPr>
      </w:pPr>
      <w:r>
        <w:rPr>
          <w:rFonts w:eastAsia="黑体"/>
          <w:sz w:val="28"/>
          <w:szCs w:val="28"/>
          <w:lang w:bidi="ar"/>
        </w:rPr>
        <w:t>加油站的等级划分（单位：m</w:t>
      </w:r>
      <w:r>
        <w:rPr>
          <w:rFonts w:eastAsia="黑体"/>
          <w:sz w:val="28"/>
          <w:szCs w:val="28"/>
          <w:vertAlign w:val="superscript"/>
          <w:lang w:bidi="ar"/>
        </w:rPr>
        <w:t>3</w:t>
      </w:r>
      <w:r>
        <w:rPr>
          <w:rFonts w:eastAsia="黑体"/>
          <w:sz w:val="28"/>
          <w:szCs w:val="28"/>
          <w:lang w:bidi="ar"/>
        </w:rPr>
        <w:t>）</w:t>
      </w: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81"/>
        <w:gridCol w:w="3522"/>
        <w:gridCol w:w="3415"/>
      </w:tblGrid>
      <w:tr w14:paraId="3E830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7" w:hRule="atLeast"/>
          <w:jc w:val="center"/>
        </w:trPr>
        <w:tc>
          <w:tcPr>
            <w:tcW w:w="1881" w:type="dxa"/>
            <w:vMerge w:val="restart"/>
            <w:tcBorders>
              <w:top w:val="single" w:color="auto" w:sz="12" w:space="0"/>
              <w:left w:val="single" w:color="auto" w:sz="12" w:space="0"/>
              <w:bottom w:val="single" w:color="auto" w:sz="6" w:space="0"/>
              <w:right w:val="single" w:color="auto" w:sz="6" w:space="0"/>
            </w:tcBorders>
            <w:noWrap w:val="0"/>
            <w:vAlign w:val="center"/>
          </w:tcPr>
          <w:p w14:paraId="352B246D">
            <w:pPr>
              <w:widowControl/>
              <w:jc w:val="center"/>
              <w:rPr>
                <w:rFonts w:eastAsia="黑体"/>
                <w:bCs/>
                <w:lang w:bidi="ar"/>
              </w:rPr>
            </w:pPr>
            <w:r>
              <w:rPr>
                <w:rFonts w:eastAsia="黑体"/>
                <w:bCs/>
                <w:lang w:bidi="ar"/>
              </w:rPr>
              <w:t>级别</w:t>
            </w:r>
          </w:p>
        </w:tc>
        <w:tc>
          <w:tcPr>
            <w:tcW w:w="6937" w:type="dxa"/>
            <w:gridSpan w:val="2"/>
            <w:tcBorders>
              <w:top w:val="single" w:color="auto" w:sz="12" w:space="0"/>
              <w:left w:val="single" w:color="auto" w:sz="6" w:space="0"/>
              <w:bottom w:val="single" w:color="auto" w:sz="6" w:space="0"/>
              <w:right w:val="single" w:color="auto" w:sz="12" w:space="0"/>
            </w:tcBorders>
            <w:noWrap w:val="0"/>
            <w:vAlign w:val="center"/>
          </w:tcPr>
          <w:p w14:paraId="5727D757">
            <w:pPr>
              <w:widowControl/>
              <w:jc w:val="center"/>
              <w:rPr>
                <w:rFonts w:eastAsia="黑体"/>
                <w:bCs/>
              </w:rPr>
            </w:pPr>
            <w:r>
              <w:rPr>
                <w:rFonts w:eastAsia="黑体"/>
                <w:bCs/>
                <w:lang w:bidi="ar"/>
              </w:rPr>
              <w:t>油  罐  容  积</w:t>
            </w:r>
          </w:p>
        </w:tc>
      </w:tr>
      <w:tr w14:paraId="31AACB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1881" w:type="dxa"/>
            <w:vMerge w:val="continue"/>
            <w:tcBorders>
              <w:top w:val="single" w:color="auto" w:sz="12" w:space="0"/>
              <w:left w:val="single" w:color="auto" w:sz="12" w:space="0"/>
              <w:bottom w:val="single" w:color="auto" w:sz="6" w:space="0"/>
              <w:right w:val="single" w:color="auto" w:sz="6" w:space="0"/>
            </w:tcBorders>
            <w:noWrap w:val="0"/>
            <w:vAlign w:val="center"/>
          </w:tcPr>
          <w:p w14:paraId="67646F15">
            <w:pPr>
              <w:widowControl/>
              <w:jc w:val="center"/>
              <w:rPr>
                <w:rFonts w:eastAsia="黑体"/>
                <w:bCs/>
                <w:lang w:bidi="ar"/>
              </w:rPr>
            </w:pPr>
          </w:p>
        </w:tc>
        <w:tc>
          <w:tcPr>
            <w:tcW w:w="3522" w:type="dxa"/>
            <w:tcBorders>
              <w:top w:val="single" w:color="auto" w:sz="6" w:space="0"/>
              <w:left w:val="single" w:color="auto" w:sz="6" w:space="0"/>
              <w:bottom w:val="single" w:color="auto" w:sz="6" w:space="0"/>
              <w:right w:val="single" w:color="auto" w:sz="6" w:space="0"/>
            </w:tcBorders>
            <w:noWrap w:val="0"/>
            <w:vAlign w:val="center"/>
          </w:tcPr>
          <w:p w14:paraId="5DE85832">
            <w:pPr>
              <w:widowControl/>
              <w:jc w:val="center"/>
              <w:rPr>
                <w:rFonts w:eastAsia="黑体"/>
                <w:bCs/>
              </w:rPr>
            </w:pPr>
            <w:r>
              <w:rPr>
                <w:rFonts w:eastAsia="黑体"/>
                <w:bCs/>
                <w:lang w:bidi="ar"/>
              </w:rPr>
              <w:t>总容积</w:t>
            </w:r>
          </w:p>
        </w:tc>
        <w:tc>
          <w:tcPr>
            <w:tcW w:w="3415" w:type="dxa"/>
            <w:tcBorders>
              <w:top w:val="single" w:color="auto" w:sz="6" w:space="0"/>
              <w:left w:val="single" w:color="auto" w:sz="6" w:space="0"/>
              <w:bottom w:val="single" w:color="auto" w:sz="6" w:space="0"/>
              <w:right w:val="single" w:color="auto" w:sz="12" w:space="0"/>
            </w:tcBorders>
            <w:noWrap w:val="0"/>
            <w:vAlign w:val="center"/>
          </w:tcPr>
          <w:p w14:paraId="25B310E6">
            <w:pPr>
              <w:widowControl/>
              <w:jc w:val="center"/>
              <w:rPr>
                <w:rFonts w:eastAsia="黑体"/>
                <w:bCs/>
              </w:rPr>
            </w:pPr>
            <w:r>
              <w:rPr>
                <w:rFonts w:eastAsia="黑体"/>
                <w:bCs/>
                <w:lang w:bidi="ar"/>
              </w:rPr>
              <w:t>单罐容积</w:t>
            </w:r>
          </w:p>
        </w:tc>
      </w:tr>
      <w:tr w14:paraId="007403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1881" w:type="dxa"/>
            <w:tcBorders>
              <w:top w:val="single" w:color="auto" w:sz="6" w:space="0"/>
              <w:left w:val="single" w:color="auto" w:sz="12" w:space="0"/>
              <w:bottom w:val="single" w:color="auto" w:sz="6" w:space="0"/>
              <w:right w:val="single" w:color="auto" w:sz="6" w:space="0"/>
            </w:tcBorders>
            <w:noWrap w:val="0"/>
            <w:vAlign w:val="center"/>
          </w:tcPr>
          <w:p w14:paraId="59B902E0">
            <w:pPr>
              <w:widowControl/>
              <w:jc w:val="center"/>
              <w:rPr>
                <w:rFonts w:eastAsia="黑体"/>
                <w:bCs/>
                <w:lang w:bidi="ar"/>
              </w:rPr>
            </w:pPr>
            <w:r>
              <w:rPr>
                <w:rFonts w:eastAsia="黑体"/>
                <w:bCs/>
                <w:lang w:bidi="ar"/>
              </w:rPr>
              <w:t>一级</w:t>
            </w:r>
          </w:p>
        </w:tc>
        <w:tc>
          <w:tcPr>
            <w:tcW w:w="3522" w:type="dxa"/>
            <w:tcBorders>
              <w:top w:val="single" w:color="auto" w:sz="6" w:space="0"/>
              <w:left w:val="single" w:color="auto" w:sz="6" w:space="0"/>
              <w:bottom w:val="single" w:color="auto" w:sz="6" w:space="0"/>
              <w:right w:val="single" w:color="auto" w:sz="6" w:space="0"/>
            </w:tcBorders>
            <w:noWrap w:val="0"/>
            <w:vAlign w:val="center"/>
          </w:tcPr>
          <w:p w14:paraId="468B6E15">
            <w:pPr>
              <w:jc w:val="center"/>
              <w:rPr>
                <w:rFonts w:ascii="宋体" w:hAnsi="宋体"/>
                <w:bCs/>
              </w:rPr>
            </w:pPr>
            <w:r>
              <w:rPr>
                <w:rFonts w:ascii="宋体" w:hAnsi="宋体"/>
                <w:bCs/>
                <w:lang w:bidi="ar"/>
              </w:rPr>
              <w:t>150＜V≤210</w:t>
            </w:r>
          </w:p>
        </w:tc>
        <w:tc>
          <w:tcPr>
            <w:tcW w:w="3415" w:type="dxa"/>
            <w:tcBorders>
              <w:top w:val="single" w:color="auto" w:sz="6" w:space="0"/>
              <w:left w:val="single" w:color="auto" w:sz="6" w:space="0"/>
              <w:bottom w:val="single" w:color="auto" w:sz="6" w:space="0"/>
              <w:right w:val="single" w:color="auto" w:sz="12" w:space="0"/>
            </w:tcBorders>
            <w:noWrap w:val="0"/>
            <w:vAlign w:val="center"/>
          </w:tcPr>
          <w:p w14:paraId="003EE8D4">
            <w:pPr>
              <w:jc w:val="center"/>
              <w:rPr>
                <w:rFonts w:ascii="宋体" w:hAnsi="宋体"/>
                <w:bCs/>
              </w:rPr>
            </w:pPr>
            <w:r>
              <w:rPr>
                <w:rFonts w:ascii="宋体" w:hAnsi="宋体"/>
                <w:bCs/>
                <w:lang w:bidi="ar"/>
              </w:rPr>
              <w:t>≤50</w:t>
            </w:r>
          </w:p>
        </w:tc>
      </w:tr>
      <w:tr w14:paraId="10F784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1881" w:type="dxa"/>
            <w:tcBorders>
              <w:top w:val="single" w:color="auto" w:sz="6" w:space="0"/>
              <w:left w:val="single" w:color="auto" w:sz="12" w:space="0"/>
              <w:bottom w:val="single" w:color="auto" w:sz="6" w:space="0"/>
              <w:right w:val="single" w:color="auto" w:sz="6" w:space="0"/>
            </w:tcBorders>
            <w:noWrap w:val="0"/>
            <w:vAlign w:val="center"/>
          </w:tcPr>
          <w:p w14:paraId="51947599">
            <w:pPr>
              <w:widowControl/>
              <w:jc w:val="center"/>
              <w:rPr>
                <w:rFonts w:eastAsia="黑体"/>
                <w:bCs/>
                <w:lang w:bidi="ar"/>
              </w:rPr>
            </w:pPr>
            <w:r>
              <w:rPr>
                <w:rFonts w:eastAsia="黑体"/>
                <w:bCs/>
                <w:lang w:bidi="ar"/>
              </w:rPr>
              <w:t>二级</w:t>
            </w:r>
          </w:p>
        </w:tc>
        <w:tc>
          <w:tcPr>
            <w:tcW w:w="3522" w:type="dxa"/>
            <w:tcBorders>
              <w:top w:val="single" w:color="auto" w:sz="6" w:space="0"/>
              <w:left w:val="single" w:color="auto" w:sz="6" w:space="0"/>
              <w:bottom w:val="single" w:color="auto" w:sz="6" w:space="0"/>
              <w:right w:val="single" w:color="auto" w:sz="6" w:space="0"/>
            </w:tcBorders>
            <w:noWrap w:val="0"/>
            <w:vAlign w:val="center"/>
          </w:tcPr>
          <w:p w14:paraId="34715CB5">
            <w:pPr>
              <w:jc w:val="center"/>
              <w:rPr>
                <w:rFonts w:ascii="宋体" w:hAnsi="宋体"/>
                <w:bCs/>
              </w:rPr>
            </w:pPr>
            <w:r>
              <w:rPr>
                <w:rFonts w:ascii="宋体" w:hAnsi="宋体"/>
                <w:bCs/>
                <w:lang w:bidi="ar"/>
              </w:rPr>
              <w:t>90＜V≤150</w:t>
            </w:r>
          </w:p>
        </w:tc>
        <w:tc>
          <w:tcPr>
            <w:tcW w:w="3415" w:type="dxa"/>
            <w:tcBorders>
              <w:top w:val="single" w:color="auto" w:sz="6" w:space="0"/>
              <w:left w:val="single" w:color="auto" w:sz="6" w:space="0"/>
              <w:bottom w:val="single" w:color="auto" w:sz="6" w:space="0"/>
              <w:right w:val="single" w:color="auto" w:sz="12" w:space="0"/>
            </w:tcBorders>
            <w:noWrap w:val="0"/>
            <w:vAlign w:val="center"/>
          </w:tcPr>
          <w:p w14:paraId="04A562B5">
            <w:pPr>
              <w:jc w:val="center"/>
              <w:rPr>
                <w:rFonts w:ascii="宋体" w:hAnsi="宋体"/>
                <w:bCs/>
              </w:rPr>
            </w:pPr>
            <w:r>
              <w:rPr>
                <w:rFonts w:ascii="宋体" w:hAnsi="宋体"/>
                <w:bCs/>
                <w:lang w:bidi="ar"/>
              </w:rPr>
              <w:t>≤50</w:t>
            </w:r>
          </w:p>
        </w:tc>
      </w:tr>
      <w:tr w14:paraId="08F6BF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881" w:type="dxa"/>
            <w:tcBorders>
              <w:top w:val="single" w:color="auto" w:sz="6" w:space="0"/>
              <w:left w:val="single" w:color="auto" w:sz="12" w:space="0"/>
              <w:bottom w:val="single" w:color="auto" w:sz="12" w:space="0"/>
              <w:right w:val="single" w:color="auto" w:sz="6" w:space="0"/>
            </w:tcBorders>
            <w:noWrap w:val="0"/>
            <w:vAlign w:val="center"/>
          </w:tcPr>
          <w:p w14:paraId="5CAF245B">
            <w:pPr>
              <w:widowControl/>
              <w:jc w:val="center"/>
              <w:rPr>
                <w:rFonts w:eastAsia="黑体"/>
                <w:bCs/>
                <w:lang w:bidi="ar"/>
              </w:rPr>
            </w:pPr>
            <w:r>
              <w:rPr>
                <w:rFonts w:eastAsia="黑体"/>
                <w:bCs/>
                <w:lang w:bidi="ar"/>
              </w:rPr>
              <w:t>三级</w:t>
            </w:r>
          </w:p>
        </w:tc>
        <w:tc>
          <w:tcPr>
            <w:tcW w:w="3522" w:type="dxa"/>
            <w:tcBorders>
              <w:top w:val="single" w:color="auto" w:sz="6" w:space="0"/>
              <w:left w:val="single" w:color="auto" w:sz="6" w:space="0"/>
              <w:bottom w:val="single" w:color="auto" w:sz="12" w:space="0"/>
              <w:right w:val="single" w:color="auto" w:sz="6" w:space="0"/>
            </w:tcBorders>
            <w:noWrap w:val="0"/>
            <w:vAlign w:val="center"/>
          </w:tcPr>
          <w:p w14:paraId="464437BC">
            <w:pPr>
              <w:jc w:val="center"/>
              <w:rPr>
                <w:rFonts w:ascii="宋体" w:hAnsi="宋体"/>
                <w:bCs/>
              </w:rPr>
            </w:pPr>
            <w:r>
              <w:rPr>
                <w:rFonts w:ascii="宋体" w:hAnsi="宋体"/>
                <w:bCs/>
                <w:lang w:bidi="ar"/>
              </w:rPr>
              <w:t>V≤90</w:t>
            </w:r>
          </w:p>
        </w:tc>
        <w:tc>
          <w:tcPr>
            <w:tcW w:w="3415" w:type="dxa"/>
            <w:tcBorders>
              <w:top w:val="single" w:color="auto" w:sz="6" w:space="0"/>
              <w:left w:val="single" w:color="auto" w:sz="6" w:space="0"/>
              <w:bottom w:val="single" w:color="auto" w:sz="12" w:space="0"/>
              <w:right w:val="single" w:color="auto" w:sz="12" w:space="0"/>
            </w:tcBorders>
            <w:noWrap w:val="0"/>
            <w:vAlign w:val="center"/>
          </w:tcPr>
          <w:p w14:paraId="358D6ED4">
            <w:pPr>
              <w:jc w:val="center"/>
              <w:rPr>
                <w:rFonts w:ascii="宋体" w:hAnsi="宋体"/>
                <w:bCs/>
              </w:rPr>
            </w:pPr>
            <w:r>
              <w:rPr>
                <w:rFonts w:ascii="宋体" w:hAnsi="宋体"/>
                <w:bCs/>
                <w:lang w:bidi="ar"/>
              </w:rPr>
              <w:t>汽油罐≤30，柴油罐≤50</w:t>
            </w:r>
          </w:p>
        </w:tc>
      </w:tr>
    </w:tbl>
    <w:p w14:paraId="662D0AB9">
      <w:pPr>
        <w:snapToGrid w:val="0"/>
        <w:spacing w:before="120" w:beforeLines="50" w:line="240" w:lineRule="exact"/>
        <w:ind w:firstLine="422" w:firstLineChars="200"/>
        <w:rPr>
          <w:rFonts w:hint="eastAsia" w:ascii="宋体" w:hAnsi="宋体"/>
          <w:bCs/>
          <w:szCs w:val="21"/>
          <w:lang w:bidi="ar"/>
        </w:rPr>
      </w:pPr>
      <w:r>
        <w:rPr>
          <w:rFonts w:ascii="宋体" w:hAnsi="宋体"/>
          <w:b/>
          <w:bCs/>
          <w:szCs w:val="21"/>
          <w:lang w:bidi="ar"/>
        </w:rPr>
        <w:t>注：</w:t>
      </w:r>
      <w:r>
        <w:rPr>
          <w:rFonts w:ascii="宋体" w:hAnsi="宋体"/>
          <w:bCs/>
          <w:szCs w:val="21"/>
          <w:lang w:bidi="ar"/>
        </w:rPr>
        <w:t>柴油罐容积可折半计入油罐总容积</w:t>
      </w:r>
      <w:r>
        <w:rPr>
          <w:rFonts w:hint="eastAsia" w:ascii="宋体" w:hAnsi="宋体"/>
          <w:bCs/>
          <w:szCs w:val="21"/>
          <w:lang w:bidi="ar"/>
        </w:rPr>
        <w:t>。</w:t>
      </w:r>
    </w:p>
    <w:p w14:paraId="05CAC8E5">
      <w:pPr>
        <w:widowControl/>
        <w:spacing w:line="400" w:lineRule="exact"/>
        <w:ind w:firstLine="561"/>
        <w:jc w:val="left"/>
        <w:rPr>
          <w:rFonts w:eastAsia="仿宋_GB2312"/>
          <w:bCs/>
          <w:sz w:val="32"/>
        </w:rPr>
      </w:pPr>
    </w:p>
    <w:p w14:paraId="2C1343BE">
      <w:pPr>
        <w:rPr>
          <w:rFonts w:eastAsia="黑体"/>
          <w:sz w:val="28"/>
          <w:szCs w:val="28"/>
          <w:lang w:bidi="ar"/>
        </w:rPr>
      </w:pPr>
      <w:r>
        <w:rPr>
          <w:rFonts w:eastAsia="黑体"/>
          <w:sz w:val="28"/>
          <w:szCs w:val="28"/>
          <w:lang w:bidi="ar"/>
        </w:rPr>
        <w:t>附表8—2</w:t>
      </w:r>
    </w:p>
    <w:p w14:paraId="71AF16E4">
      <w:pPr>
        <w:autoSpaceDE w:val="0"/>
        <w:autoSpaceDN w:val="0"/>
        <w:adjustRightInd w:val="0"/>
        <w:jc w:val="center"/>
        <w:rPr>
          <w:rFonts w:eastAsia="黑体"/>
          <w:sz w:val="28"/>
          <w:szCs w:val="28"/>
          <w:lang w:bidi="ar"/>
        </w:rPr>
      </w:pPr>
    </w:p>
    <w:p w14:paraId="13BF0329">
      <w:pPr>
        <w:autoSpaceDE w:val="0"/>
        <w:autoSpaceDN w:val="0"/>
        <w:adjustRightInd w:val="0"/>
        <w:jc w:val="center"/>
        <w:rPr>
          <w:rFonts w:eastAsia="黑体"/>
          <w:sz w:val="28"/>
          <w:szCs w:val="28"/>
          <w:lang w:bidi="ar"/>
        </w:rPr>
      </w:pPr>
      <w:r>
        <w:rPr>
          <w:rFonts w:eastAsia="黑体"/>
          <w:sz w:val="28"/>
          <w:szCs w:val="28"/>
          <w:lang w:bidi="ar"/>
        </w:rPr>
        <w:t>液化石油气加气站的等级划分（单位：m</w:t>
      </w:r>
      <w:r>
        <w:rPr>
          <w:rFonts w:eastAsia="黑体"/>
          <w:sz w:val="28"/>
          <w:szCs w:val="28"/>
          <w:vertAlign w:val="superscript"/>
          <w:lang w:bidi="ar"/>
        </w:rPr>
        <w:t>3</w:t>
      </w:r>
      <w:r>
        <w:rPr>
          <w:rFonts w:eastAsia="黑体"/>
          <w:sz w:val="28"/>
          <w:szCs w:val="28"/>
          <w:lang w:bidi="ar"/>
        </w:rPr>
        <w:t>）</w:t>
      </w: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25"/>
        <w:gridCol w:w="3469"/>
        <w:gridCol w:w="3473"/>
      </w:tblGrid>
      <w:tr w14:paraId="09A288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2" w:hRule="atLeast"/>
          <w:jc w:val="center"/>
        </w:trPr>
        <w:tc>
          <w:tcPr>
            <w:tcW w:w="1925" w:type="dxa"/>
            <w:vMerge w:val="restart"/>
            <w:tcBorders>
              <w:top w:val="single" w:color="auto" w:sz="12" w:space="0"/>
              <w:left w:val="single" w:color="auto" w:sz="12" w:space="0"/>
              <w:bottom w:val="single" w:color="auto" w:sz="6" w:space="0"/>
              <w:right w:val="single" w:color="auto" w:sz="6" w:space="0"/>
            </w:tcBorders>
            <w:noWrap w:val="0"/>
            <w:vAlign w:val="center"/>
          </w:tcPr>
          <w:p w14:paraId="70A30249">
            <w:pPr>
              <w:widowControl/>
              <w:jc w:val="center"/>
              <w:rPr>
                <w:rFonts w:eastAsia="黑体"/>
                <w:bCs/>
              </w:rPr>
            </w:pPr>
            <w:r>
              <w:rPr>
                <w:rFonts w:eastAsia="黑体"/>
                <w:bCs/>
                <w:lang w:bidi="ar"/>
              </w:rPr>
              <w:t>级别</w:t>
            </w:r>
          </w:p>
        </w:tc>
        <w:tc>
          <w:tcPr>
            <w:tcW w:w="6942" w:type="dxa"/>
            <w:gridSpan w:val="2"/>
            <w:tcBorders>
              <w:top w:val="single" w:color="auto" w:sz="12" w:space="0"/>
              <w:left w:val="single" w:color="auto" w:sz="6" w:space="0"/>
              <w:bottom w:val="single" w:color="auto" w:sz="6" w:space="0"/>
              <w:right w:val="single" w:color="auto" w:sz="12" w:space="0"/>
            </w:tcBorders>
            <w:noWrap w:val="0"/>
            <w:vAlign w:val="center"/>
          </w:tcPr>
          <w:p w14:paraId="03F2E62B">
            <w:pPr>
              <w:widowControl/>
              <w:jc w:val="center"/>
              <w:rPr>
                <w:rFonts w:eastAsia="黑体"/>
                <w:bCs/>
              </w:rPr>
            </w:pPr>
            <w:r>
              <w:rPr>
                <w:rFonts w:eastAsia="黑体"/>
                <w:bCs/>
                <w:lang w:bidi="ar"/>
              </w:rPr>
              <w:t>液化石油气罐容积</w:t>
            </w:r>
          </w:p>
        </w:tc>
      </w:tr>
      <w:tr w14:paraId="56FBC3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0" w:hRule="atLeast"/>
          <w:jc w:val="center"/>
        </w:trPr>
        <w:tc>
          <w:tcPr>
            <w:tcW w:w="1925" w:type="dxa"/>
            <w:vMerge w:val="continue"/>
            <w:tcBorders>
              <w:top w:val="single" w:color="auto" w:sz="12" w:space="0"/>
              <w:left w:val="single" w:color="auto" w:sz="12" w:space="0"/>
              <w:bottom w:val="single" w:color="auto" w:sz="6" w:space="0"/>
              <w:right w:val="single" w:color="auto" w:sz="6" w:space="0"/>
            </w:tcBorders>
            <w:noWrap w:val="0"/>
            <w:vAlign w:val="center"/>
          </w:tcPr>
          <w:p w14:paraId="70DBCF79">
            <w:pPr>
              <w:jc w:val="center"/>
              <w:rPr>
                <w:rFonts w:eastAsia="黑体"/>
                <w:sz w:val="20"/>
                <w:szCs w:val="20"/>
              </w:rPr>
            </w:pPr>
          </w:p>
        </w:tc>
        <w:tc>
          <w:tcPr>
            <w:tcW w:w="3469" w:type="dxa"/>
            <w:tcBorders>
              <w:top w:val="single" w:color="auto" w:sz="6" w:space="0"/>
              <w:left w:val="single" w:color="auto" w:sz="6" w:space="0"/>
              <w:bottom w:val="single" w:color="auto" w:sz="6" w:space="0"/>
              <w:right w:val="single" w:color="auto" w:sz="6" w:space="0"/>
            </w:tcBorders>
            <w:noWrap w:val="0"/>
            <w:vAlign w:val="center"/>
          </w:tcPr>
          <w:p w14:paraId="5547C7B7">
            <w:pPr>
              <w:widowControl/>
              <w:jc w:val="center"/>
              <w:rPr>
                <w:rFonts w:eastAsia="黑体"/>
                <w:bCs/>
              </w:rPr>
            </w:pPr>
            <w:r>
              <w:rPr>
                <w:rFonts w:eastAsia="黑体"/>
                <w:bCs/>
                <w:lang w:bidi="ar"/>
              </w:rPr>
              <w:t>总容积</w:t>
            </w:r>
          </w:p>
        </w:tc>
        <w:tc>
          <w:tcPr>
            <w:tcW w:w="3473" w:type="dxa"/>
            <w:tcBorders>
              <w:top w:val="single" w:color="auto" w:sz="6" w:space="0"/>
              <w:left w:val="single" w:color="auto" w:sz="6" w:space="0"/>
              <w:bottom w:val="single" w:color="auto" w:sz="6" w:space="0"/>
              <w:right w:val="single" w:color="auto" w:sz="12" w:space="0"/>
            </w:tcBorders>
            <w:noWrap w:val="0"/>
            <w:vAlign w:val="center"/>
          </w:tcPr>
          <w:p w14:paraId="6216B8B9">
            <w:pPr>
              <w:widowControl/>
              <w:jc w:val="center"/>
              <w:rPr>
                <w:rFonts w:eastAsia="黑体"/>
                <w:bCs/>
              </w:rPr>
            </w:pPr>
            <w:r>
              <w:rPr>
                <w:rFonts w:eastAsia="黑体"/>
                <w:bCs/>
                <w:lang w:bidi="ar"/>
              </w:rPr>
              <w:t>单罐容积</w:t>
            </w:r>
          </w:p>
        </w:tc>
      </w:tr>
      <w:tr w14:paraId="007B18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1925" w:type="dxa"/>
            <w:tcBorders>
              <w:top w:val="single" w:color="auto" w:sz="6" w:space="0"/>
              <w:left w:val="single" w:color="auto" w:sz="12" w:space="0"/>
              <w:bottom w:val="single" w:color="auto" w:sz="6" w:space="0"/>
              <w:right w:val="single" w:color="auto" w:sz="6" w:space="0"/>
            </w:tcBorders>
            <w:noWrap w:val="0"/>
            <w:vAlign w:val="center"/>
          </w:tcPr>
          <w:p w14:paraId="15B257C1">
            <w:pPr>
              <w:widowControl/>
              <w:jc w:val="center"/>
              <w:rPr>
                <w:rFonts w:eastAsia="黑体"/>
                <w:bCs/>
              </w:rPr>
            </w:pPr>
            <w:r>
              <w:rPr>
                <w:rFonts w:eastAsia="黑体"/>
                <w:bCs/>
                <w:lang w:bidi="ar"/>
              </w:rPr>
              <w:t>一级</w:t>
            </w:r>
          </w:p>
        </w:tc>
        <w:tc>
          <w:tcPr>
            <w:tcW w:w="3469" w:type="dxa"/>
            <w:tcBorders>
              <w:top w:val="single" w:color="auto" w:sz="6" w:space="0"/>
              <w:left w:val="single" w:color="auto" w:sz="6" w:space="0"/>
              <w:bottom w:val="single" w:color="auto" w:sz="6" w:space="0"/>
              <w:right w:val="single" w:color="auto" w:sz="6" w:space="0"/>
            </w:tcBorders>
            <w:noWrap w:val="0"/>
            <w:vAlign w:val="center"/>
          </w:tcPr>
          <w:p w14:paraId="05A6F756">
            <w:pPr>
              <w:spacing w:before="120"/>
              <w:jc w:val="center"/>
              <w:rPr>
                <w:rFonts w:ascii="宋体" w:hAnsi="宋体"/>
                <w:bCs/>
              </w:rPr>
            </w:pPr>
            <w:r>
              <w:rPr>
                <w:rFonts w:ascii="宋体" w:hAnsi="宋体"/>
                <w:bCs/>
                <w:lang w:bidi="ar"/>
              </w:rPr>
              <w:t>45＜V≤60</w:t>
            </w:r>
          </w:p>
        </w:tc>
        <w:tc>
          <w:tcPr>
            <w:tcW w:w="3473" w:type="dxa"/>
            <w:tcBorders>
              <w:top w:val="single" w:color="auto" w:sz="6" w:space="0"/>
              <w:left w:val="single" w:color="auto" w:sz="6" w:space="0"/>
              <w:bottom w:val="single" w:color="auto" w:sz="6" w:space="0"/>
              <w:right w:val="single" w:color="auto" w:sz="12" w:space="0"/>
            </w:tcBorders>
            <w:noWrap w:val="0"/>
            <w:vAlign w:val="center"/>
          </w:tcPr>
          <w:p w14:paraId="5794C116">
            <w:pPr>
              <w:spacing w:before="120"/>
              <w:jc w:val="center"/>
              <w:rPr>
                <w:rFonts w:ascii="宋体" w:hAnsi="宋体"/>
                <w:bCs/>
              </w:rPr>
            </w:pPr>
            <w:r>
              <w:rPr>
                <w:rFonts w:ascii="宋体" w:hAnsi="宋体"/>
                <w:bCs/>
                <w:lang w:bidi="ar"/>
              </w:rPr>
              <w:t>≤30</w:t>
            </w:r>
          </w:p>
        </w:tc>
      </w:tr>
      <w:tr w14:paraId="24B7D1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1925" w:type="dxa"/>
            <w:tcBorders>
              <w:top w:val="single" w:color="auto" w:sz="6" w:space="0"/>
              <w:left w:val="single" w:color="auto" w:sz="12" w:space="0"/>
              <w:bottom w:val="single" w:color="auto" w:sz="6" w:space="0"/>
              <w:right w:val="single" w:color="auto" w:sz="6" w:space="0"/>
            </w:tcBorders>
            <w:noWrap w:val="0"/>
            <w:vAlign w:val="center"/>
          </w:tcPr>
          <w:p w14:paraId="3C7E9032">
            <w:pPr>
              <w:widowControl/>
              <w:jc w:val="center"/>
              <w:rPr>
                <w:rFonts w:eastAsia="黑体"/>
                <w:bCs/>
              </w:rPr>
            </w:pPr>
            <w:r>
              <w:rPr>
                <w:rFonts w:eastAsia="黑体"/>
                <w:bCs/>
                <w:lang w:bidi="ar"/>
              </w:rPr>
              <w:t>二级</w:t>
            </w:r>
          </w:p>
        </w:tc>
        <w:tc>
          <w:tcPr>
            <w:tcW w:w="3469" w:type="dxa"/>
            <w:tcBorders>
              <w:top w:val="single" w:color="auto" w:sz="6" w:space="0"/>
              <w:left w:val="single" w:color="auto" w:sz="6" w:space="0"/>
              <w:bottom w:val="single" w:color="auto" w:sz="6" w:space="0"/>
              <w:right w:val="single" w:color="auto" w:sz="6" w:space="0"/>
            </w:tcBorders>
            <w:noWrap w:val="0"/>
            <w:vAlign w:val="center"/>
          </w:tcPr>
          <w:p w14:paraId="5762D940">
            <w:pPr>
              <w:spacing w:before="120"/>
              <w:jc w:val="center"/>
              <w:rPr>
                <w:rFonts w:ascii="宋体" w:hAnsi="宋体"/>
                <w:bCs/>
              </w:rPr>
            </w:pPr>
            <w:r>
              <w:rPr>
                <w:rFonts w:ascii="宋体" w:hAnsi="宋体"/>
                <w:bCs/>
                <w:lang w:bidi="ar"/>
              </w:rPr>
              <w:t>30＜V≤45</w:t>
            </w:r>
          </w:p>
        </w:tc>
        <w:tc>
          <w:tcPr>
            <w:tcW w:w="3473" w:type="dxa"/>
            <w:tcBorders>
              <w:top w:val="single" w:color="auto" w:sz="6" w:space="0"/>
              <w:left w:val="single" w:color="auto" w:sz="6" w:space="0"/>
              <w:bottom w:val="single" w:color="auto" w:sz="6" w:space="0"/>
              <w:right w:val="single" w:color="auto" w:sz="12" w:space="0"/>
            </w:tcBorders>
            <w:noWrap w:val="0"/>
            <w:vAlign w:val="center"/>
          </w:tcPr>
          <w:p w14:paraId="063E55AB">
            <w:pPr>
              <w:spacing w:before="120"/>
              <w:jc w:val="center"/>
              <w:rPr>
                <w:rFonts w:ascii="宋体" w:hAnsi="宋体"/>
                <w:bCs/>
              </w:rPr>
            </w:pPr>
            <w:r>
              <w:rPr>
                <w:rFonts w:ascii="宋体" w:hAnsi="宋体"/>
                <w:bCs/>
                <w:lang w:bidi="ar"/>
              </w:rPr>
              <w:t>≤30</w:t>
            </w:r>
          </w:p>
        </w:tc>
      </w:tr>
      <w:tr w14:paraId="52F11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1925" w:type="dxa"/>
            <w:tcBorders>
              <w:top w:val="single" w:color="auto" w:sz="6" w:space="0"/>
              <w:left w:val="single" w:color="auto" w:sz="12" w:space="0"/>
              <w:bottom w:val="single" w:color="auto" w:sz="12" w:space="0"/>
              <w:right w:val="single" w:color="auto" w:sz="6" w:space="0"/>
            </w:tcBorders>
            <w:noWrap w:val="0"/>
            <w:vAlign w:val="center"/>
          </w:tcPr>
          <w:p w14:paraId="5F9D5248">
            <w:pPr>
              <w:widowControl/>
              <w:jc w:val="center"/>
              <w:rPr>
                <w:rFonts w:eastAsia="黑体"/>
                <w:bCs/>
              </w:rPr>
            </w:pPr>
            <w:r>
              <w:rPr>
                <w:rFonts w:eastAsia="黑体"/>
                <w:bCs/>
                <w:lang w:bidi="ar"/>
              </w:rPr>
              <w:t>三级</w:t>
            </w:r>
          </w:p>
        </w:tc>
        <w:tc>
          <w:tcPr>
            <w:tcW w:w="3469" w:type="dxa"/>
            <w:tcBorders>
              <w:top w:val="single" w:color="auto" w:sz="6" w:space="0"/>
              <w:left w:val="single" w:color="auto" w:sz="6" w:space="0"/>
              <w:bottom w:val="single" w:color="auto" w:sz="12" w:space="0"/>
              <w:right w:val="single" w:color="auto" w:sz="6" w:space="0"/>
            </w:tcBorders>
            <w:noWrap w:val="0"/>
            <w:vAlign w:val="center"/>
          </w:tcPr>
          <w:p w14:paraId="0581C03D">
            <w:pPr>
              <w:spacing w:before="120"/>
              <w:jc w:val="center"/>
              <w:rPr>
                <w:rFonts w:ascii="宋体" w:hAnsi="宋体"/>
                <w:bCs/>
              </w:rPr>
            </w:pPr>
            <w:r>
              <w:rPr>
                <w:rFonts w:ascii="宋体" w:hAnsi="宋体"/>
                <w:bCs/>
                <w:lang w:bidi="ar"/>
              </w:rPr>
              <w:t>V≤30</w:t>
            </w:r>
          </w:p>
        </w:tc>
        <w:tc>
          <w:tcPr>
            <w:tcW w:w="3473" w:type="dxa"/>
            <w:tcBorders>
              <w:top w:val="single" w:color="auto" w:sz="6" w:space="0"/>
              <w:left w:val="single" w:color="auto" w:sz="6" w:space="0"/>
              <w:bottom w:val="single" w:color="auto" w:sz="12" w:space="0"/>
              <w:right w:val="single" w:color="auto" w:sz="12" w:space="0"/>
            </w:tcBorders>
            <w:noWrap w:val="0"/>
            <w:vAlign w:val="center"/>
          </w:tcPr>
          <w:p w14:paraId="7B522223">
            <w:pPr>
              <w:spacing w:before="120"/>
              <w:jc w:val="center"/>
              <w:rPr>
                <w:rFonts w:ascii="宋体" w:hAnsi="宋体"/>
                <w:bCs/>
              </w:rPr>
            </w:pPr>
            <w:r>
              <w:rPr>
                <w:rFonts w:ascii="宋体" w:hAnsi="宋体"/>
                <w:bCs/>
                <w:lang w:bidi="ar"/>
              </w:rPr>
              <w:t>≤30</w:t>
            </w:r>
          </w:p>
        </w:tc>
      </w:tr>
    </w:tbl>
    <w:p w14:paraId="15E239C9">
      <w:pPr>
        <w:snapToGrid w:val="0"/>
        <w:spacing w:before="120" w:beforeLines="50" w:line="240" w:lineRule="exact"/>
        <w:ind w:firstLine="422" w:firstLineChars="200"/>
        <w:rPr>
          <w:rFonts w:ascii="宋体" w:hAnsi="宋体"/>
          <w:bCs/>
          <w:szCs w:val="21"/>
          <w:lang w:bidi="ar"/>
        </w:rPr>
      </w:pPr>
      <w:r>
        <w:rPr>
          <w:rFonts w:ascii="宋体" w:hAnsi="宋体"/>
          <w:b/>
          <w:bCs/>
          <w:szCs w:val="21"/>
          <w:lang w:bidi="ar"/>
        </w:rPr>
        <w:t>注：</w:t>
      </w:r>
      <w:r>
        <w:rPr>
          <w:rFonts w:ascii="宋体" w:hAnsi="宋体"/>
          <w:bCs/>
          <w:szCs w:val="21"/>
          <w:lang w:bidi="ar"/>
        </w:rPr>
        <w:t>V为液化石油气罐总容积。</w:t>
      </w:r>
    </w:p>
    <w:p w14:paraId="308F555E">
      <w:pPr>
        <w:widowControl/>
        <w:spacing w:line="400" w:lineRule="exact"/>
        <w:ind w:firstLine="561"/>
        <w:jc w:val="left"/>
        <w:rPr>
          <w:rFonts w:eastAsia="仿宋_GB2312"/>
          <w:bCs/>
          <w:sz w:val="32"/>
        </w:rPr>
      </w:pPr>
    </w:p>
    <w:p w14:paraId="1C7CD773">
      <w:pPr>
        <w:rPr>
          <w:rFonts w:eastAsia="黑体"/>
          <w:sz w:val="28"/>
          <w:szCs w:val="28"/>
          <w:lang w:bidi="ar"/>
        </w:rPr>
      </w:pPr>
      <w:r>
        <w:rPr>
          <w:rFonts w:eastAsia="黑体"/>
          <w:sz w:val="28"/>
          <w:szCs w:val="28"/>
          <w:lang w:bidi="ar"/>
        </w:rPr>
        <w:t>附表8—3</w:t>
      </w:r>
    </w:p>
    <w:p w14:paraId="51CB885A">
      <w:pPr>
        <w:autoSpaceDE w:val="0"/>
        <w:autoSpaceDN w:val="0"/>
        <w:adjustRightInd w:val="0"/>
        <w:jc w:val="center"/>
        <w:rPr>
          <w:rFonts w:eastAsia="黑体"/>
          <w:sz w:val="28"/>
          <w:szCs w:val="28"/>
          <w:lang w:bidi="ar"/>
        </w:rPr>
      </w:pPr>
    </w:p>
    <w:p w14:paraId="4AA41A07">
      <w:pPr>
        <w:autoSpaceDE w:val="0"/>
        <w:autoSpaceDN w:val="0"/>
        <w:adjustRightInd w:val="0"/>
        <w:jc w:val="center"/>
        <w:rPr>
          <w:rFonts w:eastAsia="黑体"/>
          <w:sz w:val="28"/>
          <w:szCs w:val="28"/>
          <w:lang w:bidi="ar"/>
        </w:rPr>
      </w:pPr>
      <w:r>
        <w:rPr>
          <w:rFonts w:eastAsia="黑体"/>
          <w:sz w:val="28"/>
          <w:szCs w:val="28"/>
          <w:lang w:bidi="ar"/>
        </w:rPr>
        <w:t>加油和液化石油气加气合建站的等级划分（单位：m</w:t>
      </w:r>
      <w:r>
        <w:rPr>
          <w:rFonts w:eastAsia="黑体"/>
          <w:sz w:val="28"/>
          <w:szCs w:val="28"/>
          <w:vertAlign w:val="superscript"/>
          <w:lang w:bidi="ar"/>
        </w:rPr>
        <w:t>3</w:t>
      </w:r>
      <w:r>
        <w:rPr>
          <w:rFonts w:eastAsia="黑体"/>
          <w:sz w:val="28"/>
          <w:szCs w:val="28"/>
          <w:lang w:bidi="ar"/>
        </w:rPr>
        <w:t>）</w:t>
      </w:r>
    </w:p>
    <w:p w14:paraId="51FB4CC1">
      <w:pPr>
        <w:widowControl/>
        <w:spacing w:line="200" w:lineRule="exact"/>
        <w:ind w:firstLine="181"/>
        <w:jc w:val="center"/>
        <w:rPr>
          <w:rFonts w:eastAsia="仿宋_GB2312"/>
          <w:szCs w:val="20"/>
        </w:rPr>
      </w:pP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27"/>
        <w:gridCol w:w="2689"/>
        <w:gridCol w:w="3179"/>
      </w:tblGrid>
      <w:tr w14:paraId="0C127D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1" w:hRule="atLeast"/>
          <w:jc w:val="center"/>
        </w:trPr>
        <w:tc>
          <w:tcPr>
            <w:tcW w:w="2927" w:type="dxa"/>
            <w:tcBorders>
              <w:top w:val="single" w:color="auto" w:sz="12" w:space="0"/>
              <w:left w:val="single" w:color="auto" w:sz="12" w:space="0"/>
              <w:bottom w:val="single" w:color="auto" w:sz="6" w:space="0"/>
              <w:right w:val="single" w:color="auto" w:sz="6" w:space="0"/>
            </w:tcBorders>
            <w:noWrap w:val="0"/>
            <w:vAlign w:val="center"/>
          </w:tcPr>
          <w:p w14:paraId="76E1712A">
            <w:pPr>
              <w:widowControl/>
              <w:jc w:val="center"/>
              <w:rPr>
                <w:rFonts w:eastAsia="黑体"/>
                <w:bCs/>
              </w:rPr>
            </w:pPr>
            <w:r>
              <w:rPr>
                <w:rFonts w:eastAsia="黑体"/>
                <w:bCs/>
                <w:lang w:bidi="ar"/>
              </w:rPr>
              <w:t>合建站等级</w:t>
            </w:r>
          </w:p>
        </w:tc>
        <w:tc>
          <w:tcPr>
            <w:tcW w:w="2689" w:type="dxa"/>
            <w:tcBorders>
              <w:top w:val="single" w:color="auto" w:sz="12" w:space="0"/>
              <w:left w:val="single" w:color="auto" w:sz="6" w:space="0"/>
              <w:bottom w:val="single" w:color="auto" w:sz="6" w:space="0"/>
              <w:right w:val="single" w:color="auto" w:sz="6" w:space="0"/>
            </w:tcBorders>
            <w:noWrap w:val="0"/>
            <w:vAlign w:val="center"/>
          </w:tcPr>
          <w:p w14:paraId="6D8D755A">
            <w:pPr>
              <w:widowControl/>
              <w:jc w:val="center"/>
              <w:rPr>
                <w:rFonts w:eastAsia="黑体"/>
                <w:bCs/>
              </w:rPr>
            </w:pPr>
            <w:r>
              <w:rPr>
                <w:rFonts w:eastAsia="黑体"/>
                <w:bCs/>
                <w:lang w:bidi="ar"/>
              </w:rPr>
              <w:t>液化石油气储罐总容积</w:t>
            </w:r>
          </w:p>
        </w:tc>
        <w:tc>
          <w:tcPr>
            <w:tcW w:w="3179" w:type="dxa"/>
            <w:tcBorders>
              <w:top w:val="single" w:color="auto" w:sz="12" w:space="0"/>
              <w:left w:val="single" w:color="auto" w:sz="6" w:space="0"/>
              <w:bottom w:val="single" w:color="auto" w:sz="6" w:space="0"/>
              <w:right w:val="single" w:color="auto" w:sz="12" w:space="0"/>
            </w:tcBorders>
            <w:noWrap w:val="0"/>
            <w:vAlign w:val="center"/>
          </w:tcPr>
          <w:p w14:paraId="34BD121D">
            <w:pPr>
              <w:widowControl/>
              <w:jc w:val="center"/>
              <w:rPr>
                <w:rFonts w:eastAsia="黑体"/>
                <w:bCs/>
              </w:rPr>
            </w:pPr>
            <w:r>
              <w:rPr>
                <w:rFonts w:eastAsia="黑体"/>
                <w:bCs/>
                <w:lang w:bidi="ar"/>
              </w:rPr>
              <w:t>液化石油气储罐总容积与</w:t>
            </w:r>
          </w:p>
          <w:p w14:paraId="65ECE377">
            <w:pPr>
              <w:widowControl/>
              <w:jc w:val="center"/>
              <w:rPr>
                <w:rFonts w:eastAsia="黑体"/>
                <w:bCs/>
              </w:rPr>
            </w:pPr>
            <w:r>
              <w:rPr>
                <w:rFonts w:eastAsia="黑体"/>
                <w:bCs/>
                <w:lang w:bidi="ar"/>
              </w:rPr>
              <w:t>油品储罐总容积合计</w:t>
            </w:r>
          </w:p>
        </w:tc>
      </w:tr>
      <w:tr w14:paraId="42F4E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2927" w:type="dxa"/>
            <w:tcBorders>
              <w:top w:val="single" w:color="auto" w:sz="6" w:space="0"/>
              <w:left w:val="single" w:color="auto" w:sz="12" w:space="0"/>
              <w:bottom w:val="single" w:color="auto" w:sz="6" w:space="0"/>
              <w:right w:val="single" w:color="auto" w:sz="6" w:space="0"/>
            </w:tcBorders>
            <w:noWrap w:val="0"/>
            <w:vAlign w:val="center"/>
          </w:tcPr>
          <w:p w14:paraId="31CB1C83">
            <w:pPr>
              <w:widowControl/>
              <w:jc w:val="center"/>
              <w:rPr>
                <w:rFonts w:eastAsia="黑体"/>
                <w:bCs/>
              </w:rPr>
            </w:pPr>
            <w:r>
              <w:rPr>
                <w:rFonts w:eastAsia="黑体"/>
                <w:bCs/>
                <w:lang w:bidi="ar"/>
              </w:rPr>
              <w:t>一级</w:t>
            </w:r>
          </w:p>
        </w:tc>
        <w:tc>
          <w:tcPr>
            <w:tcW w:w="2689" w:type="dxa"/>
            <w:tcBorders>
              <w:top w:val="single" w:color="auto" w:sz="6" w:space="0"/>
              <w:left w:val="single" w:color="auto" w:sz="6" w:space="0"/>
              <w:bottom w:val="single" w:color="auto" w:sz="6" w:space="0"/>
              <w:right w:val="single" w:color="auto" w:sz="6" w:space="0"/>
            </w:tcBorders>
            <w:noWrap w:val="0"/>
            <w:vAlign w:val="center"/>
          </w:tcPr>
          <w:p w14:paraId="50C2E6EB">
            <w:pPr>
              <w:widowControl/>
              <w:jc w:val="center"/>
              <w:rPr>
                <w:rFonts w:eastAsia="仿宋"/>
                <w:bCs/>
              </w:rPr>
            </w:pPr>
            <w:r>
              <w:rPr>
                <w:rFonts w:eastAsia="仿宋"/>
                <w:bCs/>
                <w:lang w:bidi="ar"/>
              </w:rPr>
              <w:t>V≤45</w:t>
            </w:r>
          </w:p>
        </w:tc>
        <w:tc>
          <w:tcPr>
            <w:tcW w:w="3179" w:type="dxa"/>
            <w:tcBorders>
              <w:top w:val="single" w:color="auto" w:sz="6" w:space="0"/>
              <w:left w:val="single" w:color="auto" w:sz="6" w:space="0"/>
              <w:bottom w:val="single" w:color="auto" w:sz="6" w:space="0"/>
              <w:right w:val="single" w:color="auto" w:sz="12" w:space="0"/>
            </w:tcBorders>
            <w:noWrap w:val="0"/>
            <w:vAlign w:val="center"/>
          </w:tcPr>
          <w:p w14:paraId="693377FE">
            <w:pPr>
              <w:widowControl/>
              <w:jc w:val="center"/>
              <w:rPr>
                <w:rFonts w:eastAsia="仿宋"/>
                <w:bCs/>
              </w:rPr>
            </w:pPr>
            <w:r>
              <w:rPr>
                <w:rFonts w:eastAsia="仿宋"/>
                <w:bCs/>
                <w:lang w:bidi="ar"/>
              </w:rPr>
              <w:t>120＜V≤180</w:t>
            </w:r>
          </w:p>
        </w:tc>
      </w:tr>
      <w:tr w14:paraId="17020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2927" w:type="dxa"/>
            <w:tcBorders>
              <w:top w:val="single" w:color="auto" w:sz="6" w:space="0"/>
              <w:left w:val="single" w:color="auto" w:sz="12" w:space="0"/>
              <w:bottom w:val="single" w:color="auto" w:sz="6" w:space="0"/>
              <w:right w:val="single" w:color="auto" w:sz="6" w:space="0"/>
            </w:tcBorders>
            <w:noWrap w:val="0"/>
            <w:vAlign w:val="center"/>
          </w:tcPr>
          <w:p w14:paraId="1D4BB9DB">
            <w:pPr>
              <w:widowControl/>
              <w:jc w:val="center"/>
              <w:rPr>
                <w:rFonts w:eastAsia="黑体"/>
                <w:bCs/>
              </w:rPr>
            </w:pPr>
            <w:r>
              <w:rPr>
                <w:rFonts w:eastAsia="黑体"/>
                <w:bCs/>
                <w:lang w:bidi="ar"/>
              </w:rPr>
              <w:t>二级</w:t>
            </w:r>
          </w:p>
        </w:tc>
        <w:tc>
          <w:tcPr>
            <w:tcW w:w="2689" w:type="dxa"/>
            <w:tcBorders>
              <w:top w:val="single" w:color="auto" w:sz="6" w:space="0"/>
              <w:left w:val="single" w:color="auto" w:sz="6" w:space="0"/>
              <w:bottom w:val="single" w:color="auto" w:sz="6" w:space="0"/>
              <w:right w:val="single" w:color="auto" w:sz="6" w:space="0"/>
            </w:tcBorders>
            <w:noWrap w:val="0"/>
            <w:vAlign w:val="center"/>
          </w:tcPr>
          <w:p w14:paraId="0AB28D46">
            <w:pPr>
              <w:widowControl/>
              <w:jc w:val="center"/>
              <w:rPr>
                <w:rFonts w:eastAsia="仿宋"/>
                <w:bCs/>
              </w:rPr>
            </w:pPr>
            <w:r>
              <w:rPr>
                <w:rFonts w:eastAsia="仿宋"/>
                <w:bCs/>
                <w:lang w:bidi="ar"/>
              </w:rPr>
              <w:t>V≤30</w:t>
            </w:r>
          </w:p>
        </w:tc>
        <w:tc>
          <w:tcPr>
            <w:tcW w:w="3179" w:type="dxa"/>
            <w:tcBorders>
              <w:top w:val="single" w:color="auto" w:sz="6" w:space="0"/>
              <w:left w:val="single" w:color="auto" w:sz="6" w:space="0"/>
              <w:bottom w:val="single" w:color="auto" w:sz="6" w:space="0"/>
              <w:right w:val="single" w:color="auto" w:sz="12" w:space="0"/>
            </w:tcBorders>
            <w:noWrap w:val="0"/>
            <w:vAlign w:val="center"/>
          </w:tcPr>
          <w:p w14:paraId="16EB9AE7">
            <w:pPr>
              <w:widowControl/>
              <w:jc w:val="center"/>
              <w:rPr>
                <w:rFonts w:eastAsia="仿宋"/>
                <w:bCs/>
              </w:rPr>
            </w:pPr>
            <w:r>
              <w:rPr>
                <w:rFonts w:eastAsia="仿宋"/>
                <w:bCs/>
                <w:lang w:bidi="ar"/>
              </w:rPr>
              <w:t>60＜V≤120</w:t>
            </w:r>
          </w:p>
        </w:tc>
      </w:tr>
      <w:tr w14:paraId="08C5D0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2927" w:type="dxa"/>
            <w:tcBorders>
              <w:top w:val="single" w:color="auto" w:sz="6" w:space="0"/>
              <w:left w:val="single" w:color="auto" w:sz="12" w:space="0"/>
              <w:bottom w:val="single" w:color="auto" w:sz="12" w:space="0"/>
              <w:right w:val="single" w:color="auto" w:sz="6" w:space="0"/>
            </w:tcBorders>
            <w:noWrap w:val="0"/>
            <w:vAlign w:val="center"/>
          </w:tcPr>
          <w:p w14:paraId="0F1AF509">
            <w:pPr>
              <w:widowControl/>
              <w:jc w:val="center"/>
              <w:rPr>
                <w:rFonts w:eastAsia="黑体"/>
                <w:bCs/>
              </w:rPr>
            </w:pPr>
            <w:r>
              <w:rPr>
                <w:rFonts w:eastAsia="黑体"/>
                <w:bCs/>
                <w:lang w:bidi="ar"/>
              </w:rPr>
              <w:t>三级</w:t>
            </w:r>
          </w:p>
        </w:tc>
        <w:tc>
          <w:tcPr>
            <w:tcW w:w="2689" w:type="dxa"/>
            <w:tcBorders>
              <w:top w:val="single" w:color="auto" w:sz="6" w:space="0"/>
              <w:left w:val="single" w:color="auto" w:sz="6" w:space="0"/>
              <w:bottom w:val="single" w:color="auto" w:sz="12" w:space="0"/>
              <w:right w:val="single" w:color="auto" w:sz="6" w:space="0"/>
            </w:tcBorders>
            <w:noWrap w:val="0"/>
            <w:vAlign w:val="center"/>
          </w:tcPr>
          <w:p w14:paraId="73C7CEEC">
            <w:pPr>
              <w:widowControl/>
              <w:jc w:val="center"/>
              <w:rPr>
                <w:rFonts w:eastAsia="仿宋"/>
                <w:bCs/>
              </w:rPr>
            </w:pPr>
            <w:r>
              <w:rPr>
                <w:rFonts w:eastAsia="仿宋"/>
                <w:bCs/>
                <w:lang w:bidi="ar"/>
              </w:rPr>
              <w:t>V≤20</w:t>
            </w:r>
          </w:p>
        </w:tc>
        <w:tc>
          <w:tcPr>
            <w:tcW w:w="3179" w:type="dxa"/>
            <w:tcBorders>
              <w:top w:val="single" w:color="auto" w:sz="6" w:space="0"/>
              <w:left w:val="single" w:color="auto" w:sz="6" w:space="0"/>
              <w:bottom w:val="single" w:color="auto" w:sz="12" w:space="0"/>
              <w:right w:val="single" w:color="auto" w:sz="12" w:space="0"/>
            </w:tcBorders>
            <w:noWrap w:val="0"/>
            <w:vAlign w:val="center"/>
          </w:tcPr>
          <w:p w14:paraId="02E37C3F">
            <w:pPr>
              <w:widowControl/>
              <w:jc w:val="center"/>
              <w:rPr>
                <w:rFonts w:eastAsia="仿宋"/>
                <w:bCs/>
              </w:rPr>
            </w:pPr>
            <w:r>
              <w:rPr>
                <w:rFonts w:eastAsia="仿宋"/>
                <w:bCs/>
                <w:lang w:bidi="ar"/>
              </w:rPr>
              <w:t>≤60</w:t>
            </w:r>
          </w:p>
        </w:tc>
      </w:tr>
    </w:tbl>
    <w:p w14:paraId="22358A4C">
      <w:pPr>
        <w:snapToGrid w:val="0"/>
        <w:spacing w:before="120" w:beforeLines="50" w:line="240" w:lineRule="exact"/>
        <w:ind w:firstLine="422" w:firstLineChars="200"/>
        <w:rPr>
          <w:rFonts w:ascii="宋体" w:hAnsi="宋体"/>
          <w:bCs/>
          <w:szCs w:val="21"/>
          <w:lang w:bidi="ar"/>
        </w:rPr>
      </w:pPr>
      <w:r>
        <w:rPr>
          <w:rFonts w:ascii="宋体" w:hAnsi="宋体"/>
          <w:b/>
          <w:bCs/>
          <w:szCs w:val="21"/>
          <w:lang w:bidi="ar"/>
        </w:rPr>
        <w:t>注：</w:t>
      </w:r>
      <w:r>
        <w:rPr>
          <w:rFonts w:ascii="宋体" w:hAnsi="宋体"/>
          <w:bCs/>
          <w:szCs w:val="21"/>
          <w:lang w:bidi="ar"/>
        </w:rPr>
        <w:t>1.柴油罐容积可折半计入油罐总容积。</w:t>
      </w:r>
    </w:p>
    <w:p w14:paraId="58EF762C">
      <w:pPr>
        <w:snapToGrid w:val="0"/>
        <w:spacing w:line="240" w:lineRule="exact"/>
        <w:ind w:left="997" w:leftChars="400" w:hanging="157" w:hangingChars="75"/>
        <w:rPr>
          <w:rFonts w:ascii="宋体" w:hAnsi="宋体"/>
          <w:bCs/>
          <w:szCs w:val="21"/>
          <w:lang w:bidi="ar"/>
        </w:rPr>
      </w:pPr>
      <w:r>
        <w:rPr>
          <w:rFonts w:ascii="宋体" w:hAnsi="宋体"/>
          <w:bCs/>
          <w:szCs w:val="21"/>
          <w:lang w:bidi="ar"/>
        </w:rPr>
        <w:t>2.当油罐总容积大于90 m</w:t>
      </w:r>
      <w:r>
        <w:rPr>
          <w:rFonts w:ascii="宋体" w:hAnsi="宋体"/>
          <w:bCs/>
          <w:szCs w:val="21"/>
          <w:vertAlign w:val="superscript"/>
          <w:lang w:bidi="ar"/>
        </w:rPr>
        <w:t>3</w:t>
      </w:r>
      <w:r>
        <w:rPr>
          <w:rFonts w:ascii="宋体" w:hAnsi="宋体"/>
          <w:bCs/>
          <w:szCs w:val="21"/>
          <w:lang w:bidi="ar"/>
        </w:rPr>
        <w:t>时，油罐单罐容积不应大于50 m</w:t>
      </w:r>
      <w:r>
        <w:rPr>
          <w:rFonts w:ascii="宋体" w:hAnsi="宋体"/>
          <w:bCs/>
          <w:szCs w:val="21"/>
          <w:vertAlign w:val="superscript"/>
          <w:lang w:bidi="ar"/>
        </w:rPr>
        <w:t>3</w:t>
      </w:r>
      <w:r>
        <w:rPr>
          <w:rFonts w:ascii="宋体" w:hAnsi="宋体"/>
          <w:bCs/>
          <w:szCs w:val="21"/>
          <w:lang w:bidi="ar"/>
        </w:rPr>
        <w:t>；当油罐总容积小于或等于90 m</w:t>
      </w:r>
      <w:r>
        <w:rPr>
          <w:rFonts w:ascii="宋体" w:hAnsi="宋体"/>
          <w:bCs/>
          <w:szCs w:val="21"/>
          <w:vertAlign w:val="superscript"/>
          <w:lang w:bidi="ar"/>
        </w:rPr>
        <w:t>3</w:t>
      </w:r>
      <w:r>
        <w:rPr>
          <w:rFonts w:ascii="宋体" w:hAnsi="宋体"/>
          <w:bCs/>
          <w:szCs w:val="21"/>
          <w:lang w:bidi="ar"/>
        </w:rPr>
        <w:t>时，汽油罐单罐容积不应大于30 m</w:t>
      </w:r>
      <w:r>
        <w:rPr>
          <w:rFonts w:ascii="宋体" w:hAnsi="宋体"/>
          <w:bCs/>
          <w:szCs w:val="21"/>
          <w:vertAlign w:val="superscript"/>
          <w:lang w:bidi="ar"/>
        </w:rPr>
        <w:t>3</w:t>
      </w:r>
      <w:r>
        <w:rPr>
          <w:rFonts w:ascii="宋体" w:hAnsi="宋体"/>
          <w:bCs/>
          <w:szCs w:val="21"/>
          <w:lang w:bidi="ar"/>
        </w:rPr>
        <w:t>，柴油罐单罐容积不应大于50 m</w:t>
      </w:r>
      <w:r>
        <w:rPr>
          <w:rFonts w:ascii="宋体" w:hAnsi="宋体"/>
          <w:bCs/>
          <w:szCs w:val="21"/>
          <w:vertAlign w:val="superscript"/>
          <w:lang w:bidi="ar"/>
        </w:rPr>
        <w:t>3</w:t>
      </w:r>
      <w:r>
        <w:rPr>
          <w:rFonts w:ascii="宋体" w:hAnsi="宋体"/>
          <w:bCs/>
          <w:szCs w:val="21"/>
          <w:lang w:bidi="ar"/>
        </w:rPr>
        <w:t>。</w:t>
      </w:r>
    </w:p>
    <w:p w14:paraId="7A1012CB">
      <w:pPr>
        <w:snapToGrid w:val="0"/>
        <w:spacing w:line="240" w:lineRule="exact"/>
        <w:ind w:firstLine="840" w:firstLineChars="400"/>
        <w:rPr>
          <w:rFonts w:ascii="宋体" w:hAnsi="宋体"/>
          <w:bCs/>
          <w:szCs w:val="21"/>
          <w:lang w:bidi="ar"/>
        </w:rPr>
      </w:pPr>
      <w:r>
        <w:rPr>
          <w:rFonts w:ascii="宋体" w:hAnsi="宋体"/>
          <w:bCs/>
          <w:szCs w:val="21"/>
          <w:lang w:bidi="ar"/>
        </w:rPr>
        <w:t>3.液化石油气储罐单罐容积不应大于30m</w:t>
      </w:r>
      <w:r>
        <w:rPr>
          <w:rFonts w:ascii="宋体" w:hAnsi="宋体"/>
          <w:bCs/>
          <w:szCs w:val="21"/>
          <w:vertAlign w:val="superscript"/>
          <w:lang w:bidi="ar"/>
        </w:rPr>
        <w:t>3</w:t>
      </w:r>
      <w:r>
        <w:rPr>
          <w:rFonts w:ascii="宋体" w:hAnsi="宋体"/>
          <w:bCs/>
          <w:szCs w:val="21"/>
          <w:lang w:bidi="ar"/>
        </w:rPr>
        <w:t>。</w:t>
      </w:r>
    </w:p>
    <w:p w14:paraId="7F666BAB">
      <w:pPr>
        <w:rPr>
          <w:rFonts w:eastAsia="黑体"/>
          <w:sz w:val="28"/>
          <w:szCs w:val="28"/>
          <w:lang w:bidi="ar"/>
        </w:rPr>
      </w:pPr>
      <w:r>
        <w:rPr>
          <w:rFonts w:eastAsia="黑体"/>
          <w:sz w:val="28"/>
          <w:szCs w:val="28"/>
          <w:lang w:bidi="ar"/>
        </w:rPr>
        <w:t>附表8—4</w:t>
      </w:r>
    </w:p>
    <w:p w14:paraId="22285F0A">
      <w:pPr>
        <w:autoSpaceDE w:val="0"/>
        <w:autoSpaceDN w:val="0"/>
        <w:adjustRightInd w:val="0"/>
        <w:jc w:val="center"/>
        <w:rPr>
          <w:rFonts w:eastAsia="黑体"/>
          <w:sz w:val="28"/>
          <w:szCs w:val="28"/>
          <w:lang w:bidi="ar"/>
        </w:rPr>
      </w:pPr>
    </w:p>
    <w:p w14:paraId="37155267">
      <w:pPr>
        <w:autoSpaceDE w:val="0"/>
        <w:autoSpaceDN w:val="0"/>
        <w:adjustRightInd w:val="0"/>
        <w:jc w:val="center"/>
        <w:rPr>
          <w:rFonts w:eastAsia="黑体"/>
          <w:sz w:val="28"/>
          <w:szCs w:val="28"/>
          <w:lang w:bidi="ar"/>
        </w:rPr>
      </w:pPr>
      <w:r>
        <w:rPr>
          <w:rFonts w:eastAsia="黑体"/>
          <w:sz w:val="28"/>
          <w:szCs w:val="28"/>
          <w:lang w:bidi="ar"/>
        </w:rPr>
        <w:t>加油和压缩天然气加气合建站的等级划分（单位：m</w:t>
      </w:r>
      <w:r>
        <w:rPr>
          <w:rFonts w:eastAsia="黑体"/>
          <w:sz w:val="28"/>
          <w:szCs w:val="28"/>
          <w:vertAlign w:val="superscript"/>
          <w:lang w:bidi="ar"/>
        </w:rPr>
        <w:t>3</w:t>
      </w:r>
      <w:r>
        <w:rPr>
          <w:rFonts w:eastAsia="黑体"/>
          <w:sz w:val="28"/>
          <w:szCs w:val="28"/>
          <w:lang w:bidi="ar"/>
        </w:rPr>
        <w:t>）</w:t>
      </w:r>
    </w:p>
    <w:p w14:paraId="0FC60A57">
      <w:pPr>
        <w:snapToGrid w:val="0"/>
        <w:spacing w:after="48" w:afterLines="20"/>
        <w:jc w:val="center"/>
        <w:rPr>
          <w:rFonts w:eastAsia="仿宋_GB2312"/>
          <w:szCs w:val="20"/>
        </w:rPr>
      </w:pP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5"/>
        <w:gridCol w:w="1745"/>
        <w:gridCol w:w="2906"/>
        <w:gridCol w:w="3214"/>
      </w:tblGrid>
      <w:tr w14:paraId="6E4297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2" w:hRule="atLeast"/>
          <w:jc w:val="center"/>
        </w:trPr>
        <w:tc>
          <w:tcPr>
            <w:tcW w:w="1035" w:type="dxa"/>
            <w:tcBorders>
              <w:top w:val="single" w:color="auto" w:sz="12" w:space="0"/>
              <w:left w:val="single" w:color="auto" w:sz="12" w:space="0"/>
              <w:bottom w:val="single" w:color="auto" w:sz="6" w:space="0"/>
              <w:right w:val="single" w:color="auto" w:sz="6" w:space="0"/>
            </w:tcBorders>
            <w:noWrap w:val="0"/>
            <w:vAlign w:val="center"/>
          </w:tcPr>
          <w:p w14:paraId="71E73F77">
            <w:pPr>
              <w:widowControl/>
              <w:jc w:val="center"/>
              <w:rPr>
                <w:rFonts w:eastAsia="黑体"/>
                <w:bCs/>
              </w:rPr>
            </w:pPr>
            <w:r>
              <w:rPr>
                <w:rFonts w:eastAsia="黑体"/>
                <w:bCs/>
                <w:lang w:bidi="ar"/>
              </w:rPr>
              <w:t>级别</w:t>
            </w:r>
          </w:p>
        </w:tc>
        <w:tc>
          <w:tcPr>
            <w:tcW w:w="1745" w:type="dxa"/>
            <w:tcBorders>
              <w:top w:val="single" w:color="auto" w:sz="12" w:space="0"/>
              <w:left w:val="single" w:color="auto" w:sz="6" w:space="0"/>
              <w:bottom w:val="single" w:color="auto" w:sz="6" w:space="0"/>
              <w:right w:val="single" w:color="auto" w:sz="6" w:space="0"/>
            </w:tcBorders>
            <w:noWrap w:val="0"/>
            <w:vAlign w:val="center"/>
          </w:tcPr>
          <w:p w14:paraId="6708EDD8">
            <w:pPr>
              <w:widowControl/>
              <w:jc w:val="center"/>
              <w:rPr>
                <w:rFonts w:eastAsia="黑体"/>
                <w:bCs/>
              </w:rPr>
            </w:pPr>
            <w:r>
              <w:rPr>
                <w:rFonts w:eastAsia="黑体"/>
                <w:bCs/>
                <w:lang w:bidi="ar"/>
              </w:rPr>
              <w:t>油品储罐总容积</w:t>
            </w:r>
          </w:p>
        </w:tc>
        <w:tc>
          <w:tcPr>
            <w:tcW w:w="2906" w:type="dxa"/>
            <w:tcBorders>
              <w:top w:val="single" w:color="auto" w:sz="12" w:space="0"/>
              <w:left w:val="single" w:color="auto" w:sz="6" w:space="0"/>
              <w:bottom w:val="single" w:color="auto" w:sz="6" w:space="0"/>
              <w:right w:val="single" w:color="auto" w:sz="6" w:space="0"/>
            </w:tcBorders>
            <w:noWrap w:val="0"/>
            <w:vAlign w:val="center"/>
          </w:tcPr>
          <w:p w14:paraId="156BFD0C">
            <w:pPr>
              <w:widowControl/>
              <w:jc w:val="center"/>
              <w:rPr>
                <w:rFonts w:eastAsia="黑体"/>
                <w:bCs/>
                <w:lang w:bidi="ar"/>
              </w:rPr>
            </w:pPr>
            <w:r>
              <w:rPr>
                <w:rFonts w:eastAsia="黑体"/>
                <w:bCs/>
                <w:lang w:bidi="ar"/>
              </w:rPr>
              <w:t>常规CNG加气站储气设施</w:t>
            </w:r>
          </w:p>
          <w:p w14:paraId="55A6F538">
            <w:pPr>
              <w:widowControl/>
              <w:jc w:val="center"/>
              <w:rPr>
                <w:rFonts w:eastAsia="黑体"/>
                <w:bCs/>
              </w:rPr>
            </w:pPr>
            <w:r>
              <w:rPr>
                <w:rFonts w:eastAsia="黑体"/>
                <w:bCs/>
                <w:lang w:bidi="ar"/>
              </w:rPr>
              <w:t>总容积</w:t>
            </w:r>
          </w:p>
        </w:tc>
        <w:tc>
          <w:tcPr>
            <w:tcW w:w="3214" w:type="dxa"/>
            <w:tcBorders>
              <w:top w:val="single" w:color="auto" w:sz="12" w:space="0"/>
              <w:left w:val="single" w:color="auto" w:sz="6" w:space="0"/>
              <w:bottom w:val="single" w:color="auto" w:sz="6" w:space="0"/>
              <w:right w:val="single" w:color="auto" w:sz="12" w:space="0"/>
            </w:tcBorders>
            <w:noWrap w:val="0"/>
            <w:vAlign w:val="center"/>
          </w:tcPr>
          <w:p w14:paraId="430E6EC7">
            <w:pPr>
              <w:widowControl/>
              <w:jc w:val="center"/>
              <w:rPr>
                <w:rFonts w:eastAsia="黑体"/>
                <w:bCs/>
              </w:rPr>
            </w:pPr>
            <w:r>
              <w:rPr>
                <w:rFonts w:eastAsia="黑体"/>
                <w:bCs/>
                <w:lang w:bidi="ar"/>
              </w:rPr>
              <w:t>加气子站储气设施</w:t>
            </w:r>
          </w:p>
        </w:tc>
      </w:tr>
      <w:tr w14:paraId="1193D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atLeast"/>
          <w:jc w:val="center"/>
        </w:trPr>
        <w:tc>
          <w:tcPr>
            <w:tcW w:w="1035" w:type="dxa"/>
            <w:tcBorders>
              <w:top w:val="single" w:color="auto" w:sz="6" w:space="0"/>
              <w:left w:val="single" w:color="auto" w:sz="12" w:space="0"/>
              <w:bottom w:val="single" w:color="auto" w:sz="6" w:space="0"/>
              <w:right w:val="single" w:color="auto" w:sz="6" w:space="0"/>
            </w:tcBorders>
            <w:noWrap w:val="0"/>
            <w:vAlign w:val="center"/>
          </w:tcPr>
          <w:p w14:paraId="16C65E64">
            <w:pPr>
              <w:widowControl/>
              <w:jc w:val="center"/>
              <w:rPr>
                <w:rFonts w:eastAsia="黑体"/>
                <w:bCs/>
              </w:rPr>
            </w:pPr>
            <w:r>
              <w:rPr>
                <w:rFonts w:eastAsia="黑体"/>
                <w:bCs/>
                <w:lang w:bidi="ar"/>
              </w:rPr>
              <w:t>一级</w:t>
            </w:r>
          </w:p>
        </w:tc>
        <w:tc>
          <w:tcPr>
            <w:tcW w:w="1745" w:type="dxa"/>
            <w:tcBorders>
              <w:top w:val="single" w:color="auto" w:sz="6" w:space="0"/>
              <w:left w:val="single" w:color="auto" w:sz="6" w:space="0"/>
              <w:bottom w:val="single" w:color="auto" w:sz="6" w:space="0"/>
              <w:right w:val="single" w:color="auto" w:sz="6" w:space="0"/>
            </w:tcBorders>
            <w:noWrap w:val="0"/>
            <w:vAlign w:val="center"/>
          </w:tcPr>
          <w:p w14:paraId="1DB7298B">
            <w:pPr>
              <w:widowControl/>
              <w:jc w:val="center"/>
              <w:rPr>
                <w:rFonts w:ascii="宋体" w:hAnsi="宋体"/>
                <w:bCs/>
              </w:rPr>
            </w:pPr>
            <w:r>
              <w:rPr>
                <w:rFonts w:ascii="宋体" w:hAnsi="宋体"/>
                <w:bCs/>
                <w:lang w:bidi="ar"/>
              </w:rPr>
              <w:t>90＜V≤120</w:t>
            </w:r>
          </w:p>
        </w:tc>
        <w:tc>
          <w:tcPr>
            <w:tcW w:w="2906" w:type="dxa"/>
            <w:vMerge w:val="restart"/>
            <w:tcBorders>
              <w:top w:val="single" w:color="auto" w:sz="6" w:space="0"/>
              <w:left w:val="single" w:color="auto" w:sz="6" w:space="0"/>
              <w:bottom w:val="single" w:color="auto" w:sz="6" w:space="0"/>
              <w:right w:val="single" w:color="auto" w:sz="6" w:space="0"/>
            </w:tcBorders>
            <w:noWrap w:val="0"/>
            <w:vAlign w:val="center"/>
          </w:tcPr>
          <w:p w14:paraId="6872E594">
            <w:pPr>
              <w:widowControl/>
              <w:jc w:val="center"/>
              <w:rPr>
                <w:rFonts w:ascii="宋体" w:hAnsi="宋体"/>
                <w:bCs/>
              </w:rPr>
            </w:pPr>
            <w:r>
              <w:rPr>
                <w:rFonts w:ascii="宋体" w:hAnsi="宋体"/>
                <w:bCs/>
                <w:lang w:bidi="ar"/>
              </w:rPr>
              <w:t>V≤24</w:t>
            </w:r>
          </w:p>
        </w:tc>
        <w:tc>
          <w:tcPr>
            <w:tcW w:w="3214" w:type="dxa"/>
            <w:vMerge w:val="restart"/>
            <w:tcBorders>
              <w:top w:val="single" w:color="auto" w:sz="6" w:space="0"/>
              <w:left w:val="single" w:color="auto" w:sz="6" w:space="0"/>
              <w:bottom w:val="single" w:color="auto" w:sz="6" w:space="0"/>
              <w:right w:val="single" w:color="auto" w:sz="12" w:space="0"/>
            </w:tcBorders>
            <w:noWrap w:val="0"/>
            <w:vAlign w:val="center"/>
          </w:tcPr>
          <w:p w14:paraId="3DFE2B11">
            <w:pPr>
              <w:widowControl/>
              <w:jc w:val="center"/>
              <w:rPr>
                <w:rFonts w:ascii="宋体" w:hAnsi="宋体"/>
                <w:bCs/>
              </w:rPr>
            </w:pPr>
            <w:r>
              <w:rPr>
                <w:rFonts w:ascii="宋体" w:hAnsi="宋体"/>
                <w:bCs/>
                <w:lang w:bidi="ar"/>
              </w:rPr>
              <w:t>固定储气设施总容积≤12</w:t>
            </w:r>
          </w:p>
          <w:p w14:paraId="18786E57">
            <w:pPr>
              <w:widowControl/>
              <w:jc w:val="center"/>
              <w:rPr>
                <w:rFonts w:ascii="宋体" w:hAnsi="宋体"/>
                <w:bCs/>
              </w:rPr>
            </w:pPr>
            <w:r>
              <w:rPr>
                <w:rFonts w:ascii="宋体" w:hAnsi="宋体"/>
                <w:bCs/>
                <w:lang w:bidi="ar"/>
              </w:rPr>
              <w:t>可停放1辆车载储气瓶组拖车</w:t>
            </w:r>
          </w:p>
        </w:tc>
      </w:tr>
      <w:tr w14:paraId="2CC52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atLeast"/>
          <w:jc w:val="center"/>
        </w:trPr>
        <w:tc>
          <w:tcPr>
            <w:tcW w:w="1035" w:type="dxa"/>
            <w:tcBorders>
              <w:top w:val="single" w:color="auto" w:sz="6" w:space="0"/>
              <w:left w:val="single" w:color="auto" w:sz="12" w:space="0"/>
              <w:bottom w:val="single" w:color="auto" w:sz="6" w:space="0"/>
              <w:right w:val="single" w:color="auto" w:sz="6" w:space="0"/>
            </w:tcBorders>
            <w:noWrap w:val="0"/>
            <w:vAlign w:val="center"/>
          </w:tcPr>
          <w:p w14:paraId="2205358B">
            <w:pPr>
              <w:widowControl/>
              <w:jc w:val="center"/>
              <w:rPr>
                <w:rFonts w:eastAsia="黑体"/>
                <w:bCs/>
              </w:rPr>
            </w:pPr>
            <w:r>
              <w:rPr>
                <w:rFonts w:eastAsia="黑体"/>
                <w:bCs/>
                <w:lang w:bidi="ar"/>
              </w:rPr>
              <w:t>二级</w:t>
            </w:r>
          </w:p>
        </w:tc>
        <w:tc>
          <w:tcPr>
            <w:tcW w:w="1745" w:type="dxa"/>
            <w:tcBorders>
              <w:top w:val="single" w:color="auto" w:sz="6" w:space="0"/>
              <w:left w:val="single" w:color="auto" w:sz="6" w:space="0"/>
              <w:bottom w:val="single" w:color="auto" w:sz="6" w:space="0"/>
              <w:right w:val="single" w:color="auto" w:sz="6" w:space="0"/>
            </w:tcBorders>
            <w:noWrap w:val="0"/>
            <w:vAlign w:val="center"/>
          </w:tcPr>
          <w:p w14:paraId="5CD10675">
            <w:pPr>
              <w:widowControl/>
              <w:jc w:val="center"/>
              <w:rPr>
                <w:rFonts w:ascii="宋体" w:hAnsi="宋体"/>
                <w:bCs/>
              </w:rPr>
            </w:pPr>
            <w:r>
              <w:rPr>
                <w:rFonts w:ascii="宋体" w:hAnsi="宋体"/>
                <w:bCs/>
                <w:lang w:bidi="ar"/>
              </w:rPr>
              <w:t>V≤90</w:t>
            </w:r>
          </w:p>
        </w:tc>
        <w:tc>
          <w:tcPr>
            <w:tcW w:w="2906" w:type="dxa"/>
            <w:vMerge w:val="continue"/>
            <w:tcBorders>
              <w:top w:val="single" w:color="auto" w:sz="6" w:space="0"/>
              <w:left w:val="single" w:color="auto" w:sz="6" w:space="0"/>
              <w:bottom w:val="single" w:color="auto" w:sz="6" w:space="0"/>
              <w:right w:val="single" w:color="auto" w:sz="6" w:space="0"/>
            </w:tcBorders>
            <w:noWrap w:val="0"/>
            <w:vAlign w:val="center"/>
          </w:tcPr>
          <w:p w14:paraId="7614AE7F">
            <w:pPr>
              <w:jc w:val="center"/>
              <w:rPr>
                <w:rFonts w:ascii="宋体" w:hAnsi="宋体"/>
                <w:sz w:val="20"/>
                <w:szCs w:val="20"/>
              </w:rPr>
            </w:pPr>
          </w:p>
        </w:tc>
        <w:tc>
          <w:tcPr>
            <w:tcW w:w="3214" w:type="dxa"/>
            <w:vMerge w:val="continue"/>
            <w:tcBorders>
              <w:top w:val="single" w:color="auto" w:sz="6" w:space="0"/>
              <w:left w:val="single" w:color="auto" w:sz="6" w:space="0"/>
              <w:bottom w:val="single" w:color="auto" w:sz="6" w:space="0"/>
              <w:right w:val="single" w:color="auto" w:sz="12" w:space="0"/>
            </w:tcBorders>
            <w:noWrap w:val="0"/>
            <w:vAlign w:val="center"/>
          </w:tcPr>
          <w:p w14:paraId="7C586F02">
            <w:pPr>
              <w:jc w:val="center"/>
              <w:rPr>
                <w:rFonts w:ascii="宋体" w:hAnsi="宋体"/>
                <w:sz w:val="20"/>
                <w:szCs w:val="20"/>
              </w:rPr>
            </w:pPr>
          </w:p>
        </w:tc>
      </w:tr>
      <w:tr w14:paraId="4DA6F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atLeast"/>
          <w:jc w:val="center"/>
        </w:trPr>
        <w:tc>
          <w:tcPr>
            <w:tcW w:w="1035" w:type="dxa"/>
            <w:tcBorders>
              <w:top w:val="single" w:color="auto" w:sz="6" w:space="0"/>
              <w:left w:val="single" w:color="auto" w:sz="12" w:space="0"/>
              <w:bottom w:val="single" w:color="auto" w:sz="12" w:space="0"/>
              <w:right w:val="single" w:color="auto" w:sz="6" w:space="0"/>
            </w:tcBorders>
            <w:noWrap w:val="0"/>
            <w:vAlign w:val="center"/>
          </w:tcPr>
          <w:p w14:paraId="10FF7D7C">
            <w:pPr>
              <w:widowControl/>
              <w:jc w:val="center"/>
              <w:rPr>
                <w:rFonts w:eastAsia="黑体"/>
                <w:bCs/>
              </w:rPr>
            </w:pPr>
            <w:r>
              <w:rPr>
                <w:rFonts w:eastAsia="黑体"/>
                <w:bCs/>
                <w:lang w:bidi="ar"/>
              </w:rPr>
              <w:t>三级</w:t>
            </w:r>
          </w:p>
        </w:tc>
        <w:tc>
          <w:tcPr>
            <w:tcW w:w="1745" w:type="dxa"/>
            <w:tcBorders>
              <w:top w:val="single" w:color="auto" w:sz="6" w:space="0"/>
              <w:left w:val="single" w:color="auto" w:sz="6" w:space="0"/>
              <w:bottom w:val="single" w:color="auto" w:sz="12" w:space="0"/>
              <w:right w:val="single" w:color="auto" w:sz="6" w:space="0"/>
            </w:tcBorders>
            <w:noWrap w:val="0"/>
            <w:vAlign w:val="center"/>
          </w:tcPr>
          <w:p w14:paraId="48BF04C6">
            <w:pPr>
              <w:widowControl/>
              <w:jc w:val="center"/>
              <w:rPr>
                <w:rFonts w:ascii="宋体" w:hAnsi="宋体"/>
                <w:bCs/>
              </w:rPr>
            </w:pPr>
            <w:r>
              <w:rPr>
                <w:rFonts w:ascii="宋体" w:hAnsi="宋体"/>
                <w:bCs/>
                <w:lang w:bidi="ar"/>
              </w:rPr>
              <w:t>V≤60</w:t>
            </w:r>
          </w:p>
        </w:tc>
        <w:tc>
          <w:tcPr>
            <w:tcW w:w="2906" w:type="dxa"/>
            <w:tcBorders>
              <w:top w:val="single" w:color="auto" w:sz="6" w:space="0"/>
              <w:left w:val="single" w:color="auto" w:sz="6" w:space="0"/>
              <w:bottom w:val="single" w:color="auto" w:sz="12" w:space="0"/>
              <w:right w:val="single" w:color="auto" w:sz="6" w:space="0"/>
            </w:tcBorders>
            <w:noWrap w:val="0"/>
            <w:vAlign w:val="center"/>
          </w:tcPr>
          <w:p w14:paraId="1033FEC3">
            <w:pPr>
              <w:widowControl/>
              <w:jc w:val="center"/>
              <w:rPr>
                <w:rFonts w:ascii="宋体" w:hAnsi="宋体"/>
                <w:bCs/>
              </w:rPr>
            </w:pPr>
            <w:r>
              <w:rPr>
                <w:rFonts w:ascii="宋体" w:hAnsi="宋体"/>
                <w:bCs/>
                <w:lang w:bidi="ar"/>
              </w:rPr>
              <w:t>V≤12</w:t>
            </w:r>
          </w:p>
        </w:tc>
        <w:tc>
          <w:tcPr>
            <w:tcW w:w="3214" w:type="dxa"/>
            <w:tcBorders>
              <w:top w:val="single" w:color="auto" w:sz="6" w:space="0"/>
              <w:left w:val="single" w:color="auto" w:sz="6" w:space="0"/>
              <w:bottom w:val="single" w:color="auto" w:sz="12" w:space="0"/>
              <w:right w:val="single" w:color="auto" w:sz="12" w:space="0"/>
            </w:tcBorders>
            <w:noWrap w:val="0"/>
            <w:vAlign w:val="center"/>
          </w:tcPr>
          <w:p w14:paraId="2B11ED40">
            <w:pPr>
              <w:widowControl/>
              <w:jc w:val="center"/>
              <w:rPr>
                <w:rFonts w:ascii="宋体" w:hAnsi="宋体"/>
                <w:bCs/>
              </w:rPr>
            </w:pPr>
            <w:r>
              <w:rPr>
                <w:rFonts w:ascii="宋体" w:hAnsi="宋体"/>
                <w:bCs/>
                <w:lang w:bidi="ar"/>
              </w:rPr>
              <w:t>可停放1辆车载储气瓶组拖车</w:t>
            </w:r>
          </w:p>
        </w:tc>
      </w:tr>
    </w:tbl>
    <w:p w14:paraId="43E71CB2">
      <w:pPr>
        <w:snapToGrid w:val="0"/>
        <w:spacing w:before="120" w:beforeLines="50" w:line="320" w:lineRule="exact"/>
        <w:ind w:firstLine="422" w:firstLineChars="200"/>
        <w:rPr>
          <w:rFonts w:ascii="宋体" w:hAnsi="宋体"/>
          <w:bCs/>
          <w:szCs w:val="21"/>
          <w:lang w:bidi="ar"/>
        </w:rPr>
      </w:pPr>
      <w:r>
        <w:rPr>
          <w:rFonts w:ascii="宋体" w:hAnsi="宋体"/>
          <w:b/>
          <w:bCs/>
          <w:szCs w:val="21"/>
          <w:lang w:bidi="ar"/>
        </w:rPr>
        <w:t>注：</w:t>
      </w:r>
      <w:r>
        <w:rPr>
          <w:rFonts w:ascii="宋体" w:hAnsi="宋体"/>
          <w:bCs/>
          <w:szCs w:val="21"/>
          <w:lang w:bidi="ar"/>
        </w:rPr>
        <w:t>1.柴油罐容积可折半计入油罐总容积。</w:t>
      </w:r>
    </w:p>
    <w:p w14:paraId="652A5FFD">
      <w:pPr>
        <w:snapToGrid w:val="0"/>
        <w:spacing w:line="320" w:lineRule="exact"/>
        <w:ind w:left="1031" w:leftChars="391" w:hanging="210" w:hangingChars="100"/>
        <w:rPr>
          <w:rFonts w:ascii="宋体" w:hAnsi="宋体"/>
          <w:bCs/>
          <w:szCs w:val="21"/>
          <w:lang w:bidi="ar"/>
        </w:rPr>
      </w:pPr>
      <w:r>
        <w:rPr>
          <w:rFonts w:ascii="宋体" w:hAnsi="宋体"/>
          <w:bCs/>
          <w:szCs w:val="21"/>
          <w:lang w:bidi="ar"/>
        </w:rPr>
        <w:t>2.当油罐总容积大于90 m</w:t>
      </w:r>
      <w:r>
        <w:rPr>
          <w:rFonts w:ascii="宋体" w:hAnsi="宋体"/>
          <w:bCs/>
          <w:szCs w:val="21"/>
          <w:vertAlign w:val="superscript"/>
          <w:lang w:bidi="ar"/>
        </w:rPr>
        <w:t>3</w:t>
      </w:r>
      <w:r>
        <w:rPr>
          <w:rFonts w:ascii="宋体" w:hAnsi="宋体"/>
          <w:bCs/>
          <w:szCs w:val="21"/>
          <w:lang w:bidi="ar"/>
        </w:rPr>
        <w:t>时，油罐单罐容积不应大于50 m</w:t>
      </w:r>
      <w:r>
        <w:rPr>
          <w:rFonts w:ascii="宋体" w:hAnsi="宋体"/>
          <w:bCs/>
          <w:szCs w:val="21"/>
          <w:vertAlign w:val="superscript"/>
          <w:lang w:bidi="ar"/>
        </w:rPr>
        <w:t>3</w:t>
      </w:r>
      <w:r>
        <w:rPr>
          <w:rFonts w:ascii="宋体" w:hAnsi="宋体"/>
          <w:bCs/>
          <w:szCs w:val="21"/>
          <w:lang w:bidi="ar"/>
        </w:rPr>
        <w:t>；当油罐总容积小于或等于90m</w:t>
      </w:r>
      <w:r>
        <w:rPr>
          <w:rFonts w:ascii="宋体" w:hAnsi="宋体"/>
          <w:bCs/>
          <w:szCs w:val="21"/>
          <w:vertAlign w:val="superscript"/>
          <w:lang w:bidi="ar"/>
        </w:rPr>
        <w:t>3</w:t>
      </w:r>
      <w:r>
        <w:rPr>
          <w:rFonts w:ascii="宋体" w:hAnsi="宋体"/>
          <w:bCs/>
          <w:szCs w:val="21"/>
          <w:lang w:bidi="ar"/>
        </w:rPr>
        <w:t>时，汽油罐单罐容积不应大于30m</w:t>
      </w:r>
      <w:r>
        <w:rPr>
          <w:rFonts w:ascii="宋体" w:hAnsi="宋体"/>
          <w:bCs/>
          <w:szCs w:val="21"/>
          <w:vertAlign w:val="superscript"/>
          <w:lang w:bidi="ar"/>
        </w:rPr>
        <w:t>3</w:t>
      </w:r>
      <w:r>
        <w:rPr>
          <w:rFonts w:ascii="宋体" w:hAnsi="宋体"/>
          <w:bCs/>
          <w:szCs w:val="21"/>
          <w:lang w:bidi="ar"/>
        </w:rPr>
        <w:t>，柴油罐单罐容积不应大于50m</w:t>
      </w:r>
      <w:r>
        <w:rPr>
          <w:rFonts w:ascii="宋体" w:hAnsi="宋体"/>
          <w:bCs/>
          <w:szCs w:val="21"/>
          <w:vertAlign w:val="superscript"/>
          <w:lang w:bidi="ar"/>
        </w:rPr>
        <w:t>3</w:t>
      </w:r>
      <w:r>
        <w:rPr>
          <w:rFonts w:ascii="宋体" w:hAnsi="宋体"/>
          <w:bCs/>
          <w:szCs w:val="21"/>
          <w:lang w:bidi="ar"/>
        </w:rPr>
        <w:t>。</w:t>
      </w:r>
    </w:p>
    <w:p w14:paraId="59E56EEA">
      <w:pPr>
        <w:spacing w:line="420" w:lineRule="exact"/>
        <w:jc w:val="center"/>
        <w:rPr>
          <w:rFonts w:eastAsia="黑体"/>
        </w:rPr>
      </w:pPr>
    </w:p>
    <w:p w14:paraId="44229087">
      <w:pPr>
        <w:spacing w:line="420" w:lineRule="exact"/>
        <w:jc w:val="center"/>
        <w:rPr>
          <w:rFonts w:eastAsia="黑体"/>
        </w:rPr>
      </w:pPr>
    </w:p>
    <w:p w14:paraId="58EEBC70">
      <w:pPr>
        <w:spacing w:line="420" w:lineRule="exact"/>
        <w:jc w:val="center"/>
        <w:rPr>
          <w:rFonts w:eastAsia="黑体"/>
        </w:rPr>
      </w:pPr>
    </w:p>
    <w:p w14:paraId="6C7EF0B0">
      <w:pPr>
        <w:rPr>
          <w:rFonts w:eastAsia="黑体"/>
          <w:sz w:val="28"/>
          <w:szCs w:val="28"/>
          <w:lang w:bidi="ar"/>
        </w:rPr>
      </w:pPr>
      <w:r>
        <w:br w:type="page"/>
      </w:r>
      <w:r>
        <w:rPr>
          <w:rFonts w:eastAsia="黑体"/>
          <w:sz w:val="28"/>
          <w:szCs w:val="28"/>
          <w:lang w:bidi="ar"/>
        </w:rPr>
        <w:t>附表8—5</w:t>
      </w:r>
    </w:p>
    <w:p w14:paraId="56D416BE">
      <w:pPr>
        <w:autoSpaceDE w:val="0"/>
        <w:autoSpaceDN w:val="0"/>
        <w:adjustRightInd w:val="0"/>
        <w:spacing w:before="120" w:beforeLines="50" w:after="120" w:afterLines="50"/>
        <w:jc w:val="center"/>
        <w:rPr>
          <w:rFonts w:eastAsia="仿宋_GB2312"/>
          <w:bCs/>
          <w:szCs w:val="20"/>
        </w:rPr>
      </w:pPr>
      <w:r>
        <w:rPr>
          <w:rFonts w:eastAsia="黑体"/>
          <w:sz w:val="28"/>
          <w:szCs w:val="28"/>
          <w:lang w:bidi="ar"/>
        </w:rPr>
        <w:t>液化石油气储罐与站外建（构）筑物的安全间距（单位：m）</w:t>
      </w:r>
      <w:r>
        <w:rPr>
          <w:snapToGrid w:val="0"/>
          <w:lang w:bidi="ar"/>
        </w:rPr>
        <mc:AlternateContent>
          <mc:Choice Requires="wps">
            <w:drawing>
              <wp:anchor distT="0" distB="0" distL="114300" distR="114300" simplePos="0" relativeHeight="251667456" behindDoc="0" locked="0" layoutInCell="0" allowOverlap="1">
                <wp:simplePos x="0" y="0"/>
                <wp:positionH relativeFrom="column">
                  <wp:posOffset>-66040</wp:posOffset>
                </wp:positionH>
                <wp:positionV relativeFrom="paragraph">
                  <wp:posOffset>272415</wp:posOffset>
                </wp:positionV>
                <wp:extent cx="1905" cy="635"/>
                <wp:effectExtent l="0" t="0" r="0" b="0"/>
                <wp:wrapNone/>
                <wp:docPr id="79" name="直接连接符 79"/>
                <wp:cNvGraphicFramePr/>
                <a:graphic xmlns:a="http://schemas.openxmlformats.org/drawingml/2006/main">
                  <a:graphicData uri="http://schemas.microsoft.com/office/word/2010/wordprocessingShape">
                    <wps:wsp>
                      <wps:cNvCnPr/>
                      <wps:spPr>
                        <a:xfrm>
                          <a:off x="0" y="0"/>
                          <a:ext cx="19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2pt;margin-top:21.45pt;height:0.05pt;width:0.15pt;z-index:251667456;mso-width-relative:page;mso-height-relative:page;" filled="f" stroked="t" coordsize="21600,21600" o:allowincell="f" o:gfxdata="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dE9gfWAAAACQEAAA8AAAAAAAAAAQAgAAAAIgAAAGRycy9kb3ducmV2LnhtbFBL&#10;AQIUABQAAAAIAIdO4kA3zzI5+AEAAPMDAAAOAAAAAAAAAAEAIAAAACUBAABkcnMvZTJvRG9jLnht&#10;bFBLBQYAAAAABgAGAFkBAACPBQAAAAA=&#10;">
                <v:fill on="f" focussize="0,0"/>
                <v:stroke color="#000000" joinstyle="round"/>
                <v:imagedata o:title=""/>
                <o:lock v:ext="edit" aspectratio="f"/>
              </v:line>
            </w:pict>
          </mc:Fallback>
        </mc:AlternateContent>
      </w:r>
      <w:r>
        <w:rPr>
          <w:snapToGrid w:val="0"/>
          <w:lang w:bidi="ar"/>
        </w:rPr>
        <mc:AlternateContent>
          <mc:Choice Requires="wps">
            <w:drawing>
              <wp:anchor distT="0" distB="0" distL="114300" distR="114300" simplePos="0" relativeHeight="251666432" behindDoc="0" locked="0" layoutInCell="0" allowOverlap="1">
                <wp:simplePos x="0" y="0"/>
                <wp:positionH relativeFrom="column">
                  <wp:posOffset>-66040</wp:posOffset>
                </wp:positionH>
                <wp:positionV relativeFrom="paragraph">
                  <wp:posOffset>272415</wp:posOffset>
                </wp:positionV>
                <wp:extent cx="1905" cy="635"/>
                <wp:effectExtent l="0" t="0" r="0" b="0"/>
                <wp:wrapNone/>
                <wp:docPr id="80" name="直接连接符 80"/>
                <wp:cNvGraphicFramePr/>
                <a:graphic xmlns:a="http://schemas.openxmlformats.org/drawingml/2006/main">
                  <a:graphicData uri="http://schemas.microsoft.com/office/word/2010/wordprocessingShape">
                    <wps:wsp>
                      <wps:cNvCnPr/>
                      <wps:spPr>
                        <a:xfrm>
                          <a:off x="0" y="0"/>
                          <a:ext cx="19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2pt;margin-top:21.45pt;height:0.05pt;width:0.15pt;z-index:251666432;mso-width-relative:page;mso-height-relative:page;" filled="f" stroked="t" coordsize="21600,21600" o:allowincell="f" o:gfxdata="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dE9gfWAAAACQEAAA8AAAAAAAAAAQAgAAAAIgAAAGRycy9kb3ducmV2LnhtbFBL&#10;AQIUABQAAAAIAIdO4kAQoxwC+AEAAPMDAAAOAAAAAAAAAAEAIAAAACUBAABkcnMvZTJvRG9jLnht&#10;bFBLBQYAAAAABgAGAFkBAACPBQAAAAA=&#10;">
                <v:fill on="f" focussize="0,0"/>
                <v:stroke color="#000000" joinstyle="round"/>
                <v:imagedata o:title=""/>
                <o:lock v:ext="edit" aspectratio="f"/>
              </v:line>
            </w:pict>
          </mc:Fallback>
        </mc:AlternateConten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62"/>
        <w:gridCol w:w="1838"/>
        <w:gridCol w:w="1048"/>
        <w:gridCol w:w="938"/>
        <w:gridCol w:w="909"/>
        <w:gridCol w:w="882"/>
        <w:gridCol w:w="854"/>
        <w:gridCol w:w="900"/>
      </w:tblGrid>
      <w:tr w14:paraId="6FD3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blHeader/>
          <w:jc w:val="center"/>
        </w:trPr>
        <w:tc>
          <w:tcPr>
            <w:tcW w:w="3267" w:type="dxa"/>
            <w:gridSpan w:val="3"/>
            <w:tcBorders>
              <w:top w:val="single" w:color="auto" w:sz="12" w:space="0"/>
              <w:left w:val="single" w:color="auto" w:sz="12" w:space="0"/>
              <w:bottom w:val="single" w:color="auto" w:sz="6" w:space="0"/>
              <w:right w:val="single" w:color="auto" w:sz="6" w:space="0"/>
            </w:tcBorders>
            <w:noWrap w:val="0"/>
            <w:vAlign w:val="center"/>
          </w:tcPr>
          <w:p w14:paraId="2BC04A8F">
            <w:pPr>
              <w:widowControl/>
              <w:jc w:val="center"/>
              <w:rPr>
                <w:rFonts w:hint="eastAsia" w:ascii="黑体" w:eastAsia="黑体"/>
                <w:bCs/>
              </w:rPr>
            </w:pPr>
          </w:p>
        </w:tc>
        <w:tc>
          <w:tcPr>
            <w:tcW w:w="2895" w:type="dxa"/>
            <w:gridSpan w:val="3"/>
            <w:tcBorders>
              <w:top w:val="single" w:color="auto" w:sz="12" w:space="0"/>
              <w:left w:val="single" w:color="auto" w:sz="6" w:space="0"/>
              <w:bottom w:val="single" w:color="auto" w:sz="6" w:space="0"/>
              <w:right w:val="single" w:color="auto" w:sz="6" w:space="0"/>
            </w:tcBorders>
            <w:noWrap w:val="0"/>
            <w:vAlign w:val="center"/>
          </w:tcPr>
          <w:p w14:paraId="1A415E53">
            <w:pPr>
              <w:widowControl/>
              <w:jc w:val="center"/>
              <w:rPr>
                <w:rFonts w:hint="eastAsia" w:ascii="黑体" w:eastAsia="黑体"/>
                <w:bCs/>
              </w:rPr>
            </w:pPr>
            <w:r>
              <w:rPr>
                <w:rFonts w:hint="eastAsia" w:ascii="黑体" w:eastAsia="黑体"/>
                <w:bCs/>
                <w:lang w:bidi="ar"/>
              </w:rPr>
              <w:t>地上液化石油气储罐</w:t>
            </w:r>
          </w:p>
        </w:tc>
        <w:tc>
          <w:tcPr>
            <w:tcW w:w="2636" w:type="dxa"/>
            <w:gridSpan w:val="3"/>
            <w:tcBorders>
              <w:top w:val="single" w:color="auto" w:sz="12" w:space="0"/>
              <w:left w:val="single" w:color="auto" w:sz="6" w:space="0"/>
              <w:bottom w:val="single" w:color="auto" w:sz="6" w:space="0"/>
              <w:right w:val="single" w:color="auto" w:sz="12" w:space="0"/>
            </w:tcBorders>
            <w:noWrap w:val="0"/>
            <w:vAlign w:val="center"/>
          </w:tcPr>
          <w:p w14:paraId="20FF280F">
            <w:pPr>
              <w:widowControl/>
              <w:jc w:val="center"/>
              <w:rPr>
                <w:rFonts w:hint="eastAsia" w:ascii="黑体" w:eastAsia="黑体"/>
                <w:bCs/>
              </w:rPr>
            </w:pPr>
            <w:r>
              <w:rPr>
                <w:rFonts w:hint="eastAsia" w:ascii="黑体" w:eastAsia="黑体"/>
                <w:bCs/>
                <w:lang w:bidi="ar"/>
              </w:rPr>
              <w:t>埋地液化石油气储罐</w:t>
            </w:r>
          </w:p>
        </w:tc>
      </w:tr>
      <w:tr w14:paraId="1D57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tblHeader/>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14:paraId="32381968">
            <w:pPr>
              <w:widowControl/>
              <w:jc w:val="center"/>
              <w:rPr>
                <w:rFonts w:ascii="宋体" w:hAnsi="宋体"/>
                <w:bCs/>
                <w:lang w:bidi="ar"/>
              </w:rPr>
            </w:pPr>
            <w:r>
              <w:rPr>
                <w:rFonts w:ascii="宋体" w:hAnsi="宋体"/>
                <w:bCs/>
                <w:lang w:bidi="ar"/>
              </w:rPr>
              <w:t>站外建（构）筑物</w:t>
            </w:r>
          </w:p>
        </w:tc>
        <w:tc>
          <w:tcPr>
            <w:tcW w:w="1048" w:type="dxa"/>
            <w:tcBorders>
              <w:top w:val="single" w:color="auto" w:sz="6" w:space="0"/>
              <w:left w:val="single" w:color="auto" w:sz="6" w:space="0"/>
              <w:bottom w:val="single" w:color="auto" w:sz="6" w:space="0"/>
              <w:right w:val="single" w:color="auto" w:sz="6" w:space="0"/>
            </w:tcBorders>
            <w:noWrap w:val="0"/>
            <w:vAlign w:val="center"/>
          </w:tcPr>
          <w:p w14:paraId="29453AA7">
            <w:pPr>
              <w:widowControl/>
              <w:jc w:val="center"/>
              <w:rPr>
                <w:rFonts w:ascii="宋体" w:hAnsi="宋体"/>
                <w:bCs/>
              </w:rPr>
            </w:pPr>
            <w:r>
              <w:rPr>
                <w:rFonts w:ascii="宋体" w:hAnsi="宋体"/>
                <w:bCs/>
                <w:lang w:bidi="ar"/>
              </w:rPr>
              <w:t>一级站</w:t>
            </w:r>
          </w:p>
        </w:tc>
        <w:tc>
          <w:tcPr>
            <w:tcW w:w="938" w:type="dxa"/>
            <w:tcBorders>
              <w:top w:val="single" w:color="auto" w:sz="6" w:space="0"/>
              <w:left w:val="single" w:color="auto" w:sz="6" w:space="0"/>
              <w:bottom w:val="single" w:color="auto" w:sz="6" w:space="0"/>
              <w:right w:val="single" w:color="auto" w:sz="6" w:space="0"/>
            </w:tcBorders>
            <w:noWrap w:val="0"/>
            <w:vAlign w:val="center"/>
          </w:tcPr>
          <w:p w14:paraId="63A7F14C">
            <w:pPr>
              <w:widowControl/>
              <w:jc w:val="center"/>
              <w:rPr>
                <w:rFonts w:ascii="宋体" w:hAnsi="宋体"/>
                <w:bCs/>
              </w:rPr>
            </w:pPr>
            <w:r>
              <w:rPr>
                <w:rFonts w:ascii="宋体" w:hAnsi="宋体"/>
                <w:bCs/>
                <w:lang w:bidi="ar"/>
              </w:rPr>
              <w:t>二级站</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3365327C">
            <w:pPr>
              <w:widowControl/>
              <w:jc w:val="center"/>
              <w:rPr>
                <w:rFonts w:ascii="宋体" w:hAnsi="宋体"/>
                <w:bCs/>
              </w:rPr>
            </w:pPr>
            <w:r>
              <w:rPr>
                <w:rFonts w:ascii="宋体" w:hAnsi="宋体"/>
                <w:bCs/>
                <w:lang w:bidi="ar"/>
              </w:rPr>
              <w:t>三级站</w:t>
            </w:r>
          </w:p>
        </w:tc>
        <w:tc>
          <w:tcPr>
            <w:tcW w:w="882" w:type="dxa"/>
            <w:tcBorders>
              <w:top w:val="single" w:color="auto" w:sz="6" w:space="0"/>
              <w:left w:val="single" w:color="auto" w:sz="6" w:space="0"/>
              <w:bottom w:val="single" w:color="auto" w:sz="6" w:space="0"/>
              <w:right w:val="single" w:color="auto" w:sz="6" w:space="0"/>
            </w:tcBorders>
            <w:noWrap w:val="0"/>
            <w:vAlign w:val="center"/>
          </w:tcPr>
          <w:p w14:paraId="10B379E0">
            <w:pPr>
              <w:widowControl/>
              <w:jc w:val="center"/>
              <w:rPr>
                <w:rFonts w:ascii="宋体" w:hAnsi="宋体"/>
                <w:bCs/>
              </w:rPr>
            </w:pPr>
            <w:r>
              <w:rPr>
                <w:rFonts w:ascii="宋体" w:hAnsi="宋体"/>
                <w:bCs/>
                <w:lang w:bidi="ar"/>
              </w:rPr>
              <w:t>一级站</w:t>
            </w:r>
          </w:p>
        </w:tc>
        <w:tc>
          <w:tcPr>
            <w:tcW w:w="854" w:type="dxa"/>
            <w:tcBorders>
              <w:top w:val="single" w:color="auto" w:sz="6" w:space="0"/>
              <w:left w:val="single" w:color="auto" w:sz="6" w:space="0"/>
              <w:bottom w:val="single" w:color="auto" w:sz="6" w:space="0"/>
              <w:right w:val="single" w:color="auto" w:sz="6" w:space="0"/>
            </w:tcBorders>
            <w:noWrap w:val="0"/>
            <w:vAlign w:val="center"/>
          </w:tcPr>
          <w:p w14:paraId="49F620EE">
            <w:pPr>
              <w:widowControl/>
              <w:jc w:val="center"/>
              <w:rPr>
                <w:rFonts w:ascii="宋体" w:hAnsi="宋体"/>
                <w:bCs/>
              </w:rPr>
            </w:pPr>
            <w:r>
              <w:rPr>
                <w:rFonts w:ascii="宋体" w:hAnsi="宋体"/>
                <w:bCs/>
                <w:lang w:bidi="ar"/>
              </w:rPr>
              <w:t>二级站</w:t>
            </w:r>
          </w:p>
        </w:tc>
        <w:tc>
          <w:tcPr>
            <w:tcW w:w="900" w:type="dxa"/>
            <w:tcBorders>
              <w:top w:val="single" w:color="auto" w:sz="6" w:space="0"/>
              <w:left w:val="single" w:color="auto" w:sz="6" w:space="0"/>
              <w:bottom w:val="single" w:color="auto" w:sz="6" w:space="0"/>
              <w:right w:val="single" w:color="auto" w:sz="12" w:space="0"/>
            </w:tcBorders>
            <w:noWrap w:val="0"/>
            <w:vAlign w:val="center"/>
          </w:tcPr>
          <w:p w14:paraId="35758BBA">
            <w:pPr>
              <w:widowControl/>
              <w:jc w:val="center"/>
              <w:rPr>
                <w:rFonts w:ascii="宋体" w:hAnsi="宋体"/>
                <w:bCs/>
              </w:rPr>
            </w:pPr>
            <w:r>
              <w:rPr>
                <w:rFonts w:ascii="宋体" w:hAnsi="宋体"/>
                <w:bCs/>
                <w:lang w:bidi="ar"/>
              </w:rPr>
              <w:t>三级站</w:t>
            </w:r>
          </w:p>
        </w:tc>
      </w:tr>
      <w:tr w14:paraId="39C4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14:paraId="7756F626">
            <w:pPr>
              <w:widowControl/>
              <w:jc w:val="center"/>
              <w:rPr>
                <w:rFonts w:ascii="宋体" w:hAnsi="宋体"/>
                <w:bCs/>
              </w:rPr>
            </w:pPr>
            <w:r>
              <w:rPr>
                <w:rFonts w:ascii="宋体" w:hAnsi="宋体"/>
                <w:bCs/>
                <w:lang w:bidi="ar"/>
              </w:rPr>
              <w:t>重要公共建筑物</w:t>
            </w:r>
          </w:p>
        </w:tc>
        <w:tc>
          <w:tcPr>
            <w:tcW w:w="1048" w:type="dxa"/>
            <w:tcBorders>
              <w:top w:val="single" w:color="auto" w:sz="6" w:space="0"/>
              <w:left w:val="single" w:color="auto" w:sz="6" w:space="0"/>
              <w:bottom w:val="single" w:color="auto" w:sz="6" w:space="0"/>
              <w:right w:val="single" w:color="auto" w:sz="6" w:space="0"/>
            </w:tcBorders>
            <w:noWrap w:val="0"/>
            <w:vAlign w:val="center"/>
          </w:tcPr>
          <w:p w14:paraId="70AC683B">
            <w:pPr>
              <w:widowControl/>
              <w:jc w:val="center"/>
              <w:rPr>
                <w:rFonts w:ascii="宋体" w:hAnsi="宋体"/>
                <w:bCs/>
              </w:rPr>
            </w:pPr>
            <w:r>
              <w:rPr>
                <w:rFonts w:ascii="宋体" w:hAnsi="宋体"/>
                <w:bCs/>
                <w:lang w:bidi="ar"/>
              </w:rPr>
              <w:t>100</w:t>
            </w:r>
          </w:p>
        </w:tc>
        <w:tc>
          <w:tcPr>
            <w:tcW w:w="938" w:type="dxa"/>
            <w:tcBorders>
              <w:top w:val="single" w:color="auto" w:sz="6" w:space="0"/>
              <w:left w:val="single" w:color="auto" w:sz="6" w:space="0"/>
              <w:bottom w:val="single" w:color="auto" w:sz="6" w:space="0"/>
              <w:right w:val="single" w:color="auto" w:sz="6" w:space="0"/>
            </w:tcBorders>
            <w:noWrap w:val="0"/>
            <w:vAlign w:val="center"/>
          </w:tcPr>
          <w:p w14:paraId="0446A7A2">
            <w:pPr>
              <w:widowControl/>
              <w:jc w:val="center"/>
              <w:rPr>
                <w:rFonts w:ascii="宋体" w:hAnsi="宋体"/>
                <w:bCs/>
              </w:rPr>
            </w:pPr>
            <w:r>
              <w:rPr>
                <w:rFonts w:ascii="宋体" w:hAnsi="宋体"/>
                <w:bCs/>
                <w:lang w:bidi="ar"/>
              </w:rPr>
              <w:t>100</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3E416243">
            <w:pPr>
              <w:widowControl/>
              <w:jc w:val="center"/>
              <w:rPr>
                <w:rFonts w:ascii="宋体" w:hAnsi="宋体"/>
                <w:bCs/>
              </w:rPr>
            </w:pPr>
            <w:r>
              <w:rPr>
                <w:rFonts w:ascii="宋体" w:hAnsi="宋体"/>
                <w:bCs/>
                <w:lang w:bidi="ar"/>
              </w:rPr>
              <w:t>100</w:t>
            </w:r>
          </w:p>
        </w:tc>
        <w:tc>
          <w:tcPr>
            <w:tcW w:w="882" w:type="dxa"/>
            <w:tcBorders>
              <w:top w:val="single" w:color="auto" w:sz="6" w:space="0"/>
              <w:left w:val="single" w:color="auto" w:sz="6" w:space="0"/>
              <w:bottom w:val="single" w:color="auto" w:sz="6" w:space="0"/>
              <w:right w:val="single" w:color="auto" w:sz="6" w:space="0"/>
            </w:tcBorders>
            <w:noWrap w:val="0"/>
            <w:vAlign w:val="center"/>
          </w:tcPr>
          <w:p w14:paraId="024D9840">
            <w:pPr>
              <w:widowControl/>
              <w:jc w:val="center"/>
              <w:rPr>
                <w:rFonts w:ascii="宋体" w:hAnsi="宋体"/>
                <w:bCs/>
              </w:rPr>
            </w:pPr>
            <w:r>
              <w:rPr>
                <w:rFonts w:ascii="宋体" w:hAnsi="宋体"/>
                <w:bCs/>
                <w:lang w:bidi="ar"/>
              </w:rPr>
              <w:t>100</w:t>
            </w:r>
          </w:p>
        </w:tc>
        <w:tc>
          <w:tcPr>
            <w:tcW w:w="854" w:type="dxa"/>
            <w:tcBorders>
              <w:top w:val="single" w:color="auto" w:sz="6" w:space="0"/>
              <w:left w:val="single" w:color="auto" w:sz="6" w:space="0"/>
              <w:bottom w:val="single" w:color="auto" w:sz="6" w:space="0"/>
              <w:right w:val="single" w:color="auto" w:sz="6" w:space="0"/>
            </w:tcBorders>
            <w:noWrap w:val="0"/>
            <w:vAlign w:val="center"/>
          </w:tcPr>
          <w:p w14:paraId="46DB4CC6">
            <w:pPr>
              <w:widowControl/>
              <w:jc w:val="center"/>
              <w:rPr>
                <w:rFonts w:ascii="宋体" w:hAnsi="宋体"/>
                <w:bCs/>
              </w:rPr>
            </w:pPr>
            <w:r>
              <w:rPr>
                <w:rFonts w:ascii="宋体" w:hAnsi="宋体"/>
                <w:bCs/>
                <w:lang w:bidi="ar"/>
              </w:rPr>
              <w:t>100</w:t>
            </w:r>
          </w:p>
        </w:tc>
        <w:tc>
          <w:tcPr>
            <w:tcW w:w="900" w:type="dxa"/>
            <w:tcBorders>
              <w:top w:val="single" w:color="auto" w:sz="6" w:space="0"/>
              <w:left w:val="single" w:color="auto" w:sz="6" w:space="0"/>
              <w:bottom w:val="single" w:color="auto" w:sz="6" w:space="0"/>
              <w:right w:val="single" w:color="auto" w:sz="12" w:space="0"/>
            </w:tcBorders>
            <w:noWrap w:val="0"/>
            <w:vAlign w:val="center"/>
          </w:tcPr>
          <w:p w14:paraId="08CBFA51">
            <w:pPr>
              <w:widowControl/>
              <w:jc w:val="center"/>
              <w:rPr>
                <w:rFonts w:ascii="宋体" w:hAnsi="宋体"/>
                <w:bCs/>
              </w:rPr>
            </w:pPr>
            <w:r>
              <w:rPr>
                <w:rFonts w:ascii="宋体" w:hAnsi="宋体"/>
                <w:bCs/>
                <w:lang w:bidi="ar"/>
              </w:rPr>
              <w:t>100</w:t>
            </w:r>
          </w:p>
        </w:tc>
      </w:tr>
      <w:tr w14:paraId="1789A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14:paraId="1CEC9A65">
            <w:pPr>
              <w:widowControl/>
              <w:jc w:val="center"/>
              <w:rPr>
                <w:rFonts w:ascii="宋体" w:hAnsi="宋体"/>
                <w:bCs/>
              </w:rPr>
            </w:pPr>
            <w:r>
              <w:rPr>
                <w:rFonts w:ascii="宋体" w:hAnsi="宋体"/>
                <w:bCs/>
                <w:lang w:bidi="ar"/>
              </w:rPr>
              <w:t>明火地点或散发火花地点</w:t>
            </w:r>
          </w:p>
        </w:tc>
        <w:tc>
          <w:tcPr>
            <w:tcW w:w="1048" w:type="dxa"/>
            <w:vMerge w:val="restart"/>
            <w:tcBorders>
              <w:top w:val="single" w:color="auto" w:sz="6" w:space="0"/>
              <w:left w:val="single" w:color="auto" w:sz="6" w:space="0"/>
              <w:bottom w:val="single" w:color="auto" w:sz="6" w:space="0"/>
              <w:right w:val="single" w:color="auto" w:sz="6" w:space="0"/>
            </w:tcBorders>
            <w:noWrap w:val="0"/>
            <w:vAlign w:val="center"/>
          </w:tcPr>
          <w:p w14:paraId="2156B2AF">
            <w:pPr>
              <w:widowControl/>
              <w:jc w:val="center"/>
              <w:rPr>
                <w:rFonts w:ascii="宋体" w:hAnsi="宋体"/>
                <w:bCs/>
              </w:rPr>
            </w:pPr>
            <w:r>
              <w:rPr>
                <w:rFonts w:ascii="宋体" w:hAnsi="宋体"/>
                <w:bCs/>
                <w:lang w:bidi="ar"/>
              </w:rPr>
              <w:t>45</w:t>
            </w:r>
          </w:p>
        </w:tc>
        <w:tc>
          <w:tcPr>
            <w:tcW w:w="938" w:type="dxa"/>
            <w:vMerge w:val="restart"/>
            <w:tcBorders>
              <w:top w:val="single" w:color="auto" w:sz="6" w:space="0"/>
              <w:left w:val="single" w:color="auto" w:sz="6" w:space="0"/>
              <w:bottom w:val="single" w:color="auto" w:sz="6" w:space="0"/>
              <w:right w:val="single" w:color="auto" w:sz="6" w:space="0"/>
            </w:tcBorders>
            <w:noWrap w:val="0"/>
            <w:vAlign w:val="center"/>
          </w:tcPr>
          <w:p w14:paraId="38CDF5CC">
            <w:pPr>
              <w:widowControl/>
              <w:jc w:val="center"/>
              <w:rPr>
                <w:rFonts w:ascii="宋体" w:hAnsi="宋体"/>
                <w:bCs/>
              </w:rPr>
            </w:pPr>
            <w:r>
              <w:rPr>
                <w:rFonts w:ascii="宋体" w:hAnsi="宋体"/>
                <w:bCs/>
                <w:lang w:bidi="ar"/>
              </w:rPr>
              <w:t>38</w:t>
            </w:r>
          </w:p>
        </w:tc>
        <w:tc>
          <w:tcPr>
            <w:tcW w:w="909" w:type="dxa"/>
            <w:vMerge w:val="restart"/>
            <w:tcBorders>
              <w:top w:val="single" w:color="auto" w:sz="6" w:space="0"/>
              <w:left w:val="single" w:color="auto" w:sz="6" w:space="0"/>
              <w:bottom w:val="single" w:color="auto" w:sz="6" w:space="0"/>
              <w:right w:val="single" w:color="auto" w:sz="6" w:space="0"/>
            </w:tcBorders>
            <w:noWrap w:val="0"/>
            <w:vAlign w:val="center"/>
          </w:tcPr>
          <w:p w14:paraId="1A79FE32">
            <w:pPr>
              <w:widowControl/>
              <w:jc w:val="center"/>
              <w:rPr>
                <w:rFonts w:ascii="宋体" w:hAnsi="宋体"/>
                <w:bCs/>
              </w:rPr>
            </w:pPr>
            <w:r>
              <w:rPr>
                <w:rFonts w:ascii="宋体" w:hAnsi="宋体"/>
                <w:bCs/>
                <w:lang w:bidi="ar"/>
              </w:rPr>
              <w:t>33</w:t>
            </w:r>
          </w:p>
        </w:tc>
        <w:tc>
          <w:tcPr>
            <w:tcW w:w="882" w:type="dxa"/>
            <w:vMerge w:val="restart"/>
            <w:tcBorders>
              <w:top w:val="single" w:color="auto" w:sz="6" w:space="0"/>
              <w:left w:val="single" w:color="auto" w:sz="6" w:space="0"/>
              <w:bottom w:val="single" w:color="auto" w:sz="6" w:space="0"/>
              <w:right w:val="single" w:color="auto" w:sz="6" w:space="0"/>
            </w:tcBorders>
            <w:noWrap w:val="0"/>
            <w:vAlign w:val="center"/>
          </w:tcPr>
          <w:p w14:paraId="1D738915">
            <w:pPr>
              <w:widowControl/>
              <w:jc w:val="center"/>
              <w:rPr>
                <w:rFonts w:ascii="宋体" w:hAnsi="宋体"/>
                <w:bCs/>
              </w:rPr>
            </w:pPr>
            <w:r>
              <w:rPr>
                <w:rFonts w:ascii="宋体" w:hAnsi="宋体"/>
                <w:bCs/>
                <w:lang w:bidi="ar"/>
              </w:rPr>
              <w:t>30</w:t>
            </w:r>
          </w:p>
        </w:tc>
        <w:tc>
          <w:tcPr>
            <w:tcW w:w="854" w:type="dxa"/>
            <w:vMerge w:val="restart"/>
            <w:tcBorders>
              <w:top w:val="single" w:color="auto" w:sz="6" w:space="0"/>
              <w:left w:val="single" w:color="auto" w:sz="6" w:space="0"/>
              <w:bottom w:val="single" w:color="auto" w:sz="6" w:space="0"/>
              <w:right w:val="single" w:color="auto" w:sz="6" w:space="0"/>
            </w:tcBorders>
            <w:noWrap w:val="0"/>
            <w:vAlign w:val="center"/>
          </w:tcPr>
          <w:p w14:paraId="638DBF19">
            <w:pPr>
              <w:widowControl/>
              <w:jc w:val="center"/>
              <w:rPr>
                <w:rFonts w:ascii="宋体" w:hAnsi="宋体"/>
                <w:bCs/>
              </w:rPr>
            </w:pPr>
            <w:r>
              <w:rPr>
                <w:rFonts w:ascii="宋体" w:hAnsi="宋体"/>
                <w:bCs/>
                <w:lang w:bidi="ar"/>
              </w:rPr>
              <w:t>25</w:t>
            </w:r>
          </w:p>
        </w:tc>
        <w:tc>
          <w:tcPr>
            <w:tcW w:w="900" w:type="dxa"/>
            <w:vMerge w:val="restart"/>
            <w:tcBorders>
              <w:top w:val="single" w:color="auto" w:sz="6" w:space="0"/>
              <w:left w:val="single" w:color="auto" w:sz="6" w:space="0"/>
              <w:bottom w:val="single" w:color="auto" w:sz="6" w:space="0"/>
              <w:right w:val="single" w:color="auto" w:sz="12" w:space="0"/>
            </w:tcBorders>
            <w:noWrap w:val="0"/>
            <w:vAlign w:val="center"/>
          </w:tcPr>
          <w:p w14:paraId="6A90AFF0">
            <w:pPr>
              <w:widowControl/>
              <w:jc w:val="center"/>
              <w:rPr>
                <w:rFonts w:ascii="宋体" w:hAnsi="宋体"/>
                <w:bCs/>
              </w:rPr>
            </w:pPr>
            <w:r>
              <w:rPr>
                <w:rFonts w:ascii="宋体" w:hAnsi="宋体"/>
                <w:bCs/>
                <w:lang w:bidi="ar"/>
              </w:rPr>
              <w:t>18</w:t>
            </w:r>
          </w:p>
        </w:tc>
      </w:tr>
      <w:tr w14:paraId="1582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1429" w:type="dxa"/>
            <w:gridSpan w:val="2"/>
            <w:vMerge w:val="restart"/>
            <w:tcBorders>
              <w:top w:val="single" w:color="auto" w:sz="6" w:space="0"/>
              <w:left w:val="single" w:color="auto" w:sz="12" w:space="0"/>
              <w:bottom w:val="single" w:color="auto" w:sz="6" w:space="0"/>
              <w:right w:val="single" w:color="auto" w:sz="6" w:space="0"/>
            </w:tcBorders>
            <w:noWrap w:val="0"/>
            <w:vAlign w:val="center"/>
          </w:tcPr>
          <w:p w14:paraId="3778FDE0">
            <w:pPr>
              <w:widowControl/>
              <w:jc w:val="center"/>
              <w:rPr>
                <w:rFonts w:ascii="宋体" w:hAnsi="宋体"/>
                <w:bCs/>
              </w:rPr>
            </w:pPr>
            <w:r>
              <w:rPr>
                <w:rFonts w:ascii="宋体" w:hAnsi="宋体"/>
                <w:bCs/>
                <w:lang w:bidi="ar"/>
              </w:rPr>
              <w:t>民用建筑物保护类别</w:t>
            </w:r>
          </w:p>
        </w:tc>
        <w:tc>
          <w:tcPr>
            <w:tcW w:w="1838" w:type="dxa"/>
            <w:tcBorders>
              <w:top w:val="single" w:color="auto" w:sz="6" w:space="0"/>
              <w:left w:val="single" w:color="auto" w:sz="6" w:space="0"/>
              <w:bottom w:val="single" w:color="auto" w:sz="6" w:space="0"/>
              <w:right w:val="single" w:color="auto" w:sz="6" w:space="0"/>
            </w:tcBorders>
            <w:noWrap w:val="0"/>
            <w:vAlign w:val="center"/>
          </w:tcPr>
          <w:p w14:paraId="3F23846A">
            <w:pPr>
              <w:widowControl/>
              <w:jc w:val="center"/>
              <w:rPr>
                <w:rFonts w:ascii="宋体" w:hAnsi="宋体"/>
                <w:bCs/>
              </w:rPr>
            </w:pPr>
            <w:r>
              <w:rPr>
                <w:rFonts w:ascii="宋体" w:hAnsi="宋体"/>
                <w:bCs/>
                <w:lang w:bidi="ar"/>
              </w:rPr>
              <w:t>一类保护物</w:t>
            </w:r>
          </w:p>
        </w:tc>
        <w:tc>
          <w:tcPr>
            <w:tcW w:w="1048" w:type="dxa"/>
            <w:vMerge w:val="continue"/>
            <w:tcBorders>
              <w:top w:val="single" w:color="auto" w:sz="6" w:space="0"/>
              <w:left w:val="single" w:color="auto" w:sz="6" w:space="0"/>
              <w:bottom w:val="single" w:color="auto" w:sz="6" w:space="0"/>
              <w:right w:val="single" w:color="auto" w:sz="6" w:space="0"/>
            </w:tcBorders>
            <w:noWrap w:val="0"/>
            <w:vAlign w:val="center"/>
          </w:tcPr>
          <w:p w14:paraId="19EF014D">
            <w:pPr>
              <w:jc w:val="center"/>
              <w:rPr>
                <w:rFonts w:ascii="宋体" w:hAnsi="宋体"/>
                <w:sz w:val="20"/>
                <w:szCs w:val="20"/>
              </w:rPr>
            </w:pPr>
          </w:p>
        </w:tc>
        <w:tc>
          <w:tcPr>
            <w:tcW w:w="938" w:type="dxa"/>
            <w:vMerge w:val="continue"/>
            <w:tcBorders>
              <w:top w:val="single" w:color="auto" w:sz="6" w:space="0"/>
              <w:left w:val="single" w:color="auto" w:sz="6" w:space="0"/>
              <w:bottom w:val="single" w:color="auto" w:sz="6" w:space="0"/>
              <w:right w:val="single" w:color="auto" w:sz="6" w:space="0"/>
            </w:tcBorders>
            <w:noWrap w:val="0"/>
            <w:vAlign w:val="center"/>
          </w:tcPr>
          <w:p w14:paraId="3CA6D357">
            <w:pPr>
              <w:jc w:val="center"/>
              <w:rPr>
                <w:rFonts w:ascii="宋体" w:hAnsi="宋体"/>
                <w:sz w:val="20"/>
                <w:szCs w:val="20"/>
              </w:rPr>
            </w:pPr>
          </w:p>
        </w:tc>
        <w:tc>
          <w:tcPr>
            <w:tcW w:w="909" w:type="dxa"/>
            <w:vMerge w:val="continue"/>
            <w:tcBorders>
              <w:top w:val="single" w:color="auto" w:sz="6" w:space="0"/>
              <w:left w:val="single" w:color="auto" w:sz="6" w:space="0"/>
              <w:bottom w:val="single" w:color="auto" w:sz="6" w:space="0"/>
              <w:right w:val="single" w:color="auto" w:sz="6" w:space="0"/>
            </w:tcBorders>
            <w:noWrap w:val="0"/>
            <w:vAlign w:val="center"/>
          </w:tcPr>
          <w:p w14:paraId="124F03A4">
            <w:pPr>
              <w:jc w:val="center"/>
              <w:rPr>
                <w:rFonts w:ascii="宋体" w:hAnsi="宋体"/>
                <w:sz w:val="20"/>
                <w:szCs w:val="20"/>
              </w:rPr>
            </w:pPr>
          </w:p>
        </w:tc>
        <w:tc>
          <w:tcPr>
            <w:tcW w:w="882" w:type="dxa"/>
            <w:vMerge w:val="continue"/>
            <w:tcBorders>
              <w:top w:val="single" w:color="auto" w:sz="6" w:space="0"/>
              <w:left w:val="single" w:color="auto" w:sz="6" w:space="0"/>
              <w:bottom w:val="single" w:color="auto" w:sz="6" w:space="0"/>
              <w:right w:val="single" w:color="auto" w:sz="6" w:space="0"/>
            </w:tcBorders>
            <w:noWrap w:val="0"/>
            <w:vAlign w:val="center"/>
          </w:tcPr>
          <w:p w14:paraId="3A9D8C3C">
            <w:pPr>
              <w:jc w:val="center"/>
              <w:rPr>
                <w:rFonts w:ascii="宋体" w:hAnsi="宋体"/>
                <w:sz w:val="20"/>
                <w:szCs w:val="20"/>
              </w:rPr>
            </w:pPr>
          </w:p>
        </w:tc>
        <w:tc>
          <w:tcPr>
            <w:tcW w:w="854" w:type="dxa"/>
            <w:vMerge w:val="continue"/>
            <w:tcBorders>
              <w:top w:val="single" w:color="auto" w:sz="6" w:space="0"/>
              <w:left w:val="single" w:color="auto" w:sz="6" w:space="0"/>
              <w:bottom w:val="single" w:color="auto" w:sz="6" w:space="0"/>
              <w:right w:val="single" w:color="auto" w:sz="6" w:space="0"/>
            </w:tcBorders>
            <w:noWrap w:val="0"/>
            <w:vAlign w:val="center"/>
          </w:tcPr>
          <w:p w14:paraId="065BE7C5">
            <w:pPr>
              <w:jc w:val="center"/>
              <w:rPr>
                <w:rFonts w:ascii="宋体" w:hAnsi="宋体"/>
                <w:sz w:val="20"/>
                <w:szCs w:val="20"/>
              </w:rPr>
            </w:pPr>
          </w:p>
        </w:tc>
        <w:tc>
          <w:tcPr>
            <w:tcW w:w="900" w:type="dxa"/>
            <w:vMerge w:val="continue"/>
            <w:tcBorders>
              <w:top w:val="single" w:color="auto" w:sz="6" w:space="0"/>
              <w:left w:val="single" w:color="auto" w:sz="6" w:space="0"/>
              <w:bottom w:val="single" w:color="auto" w:sz="6" w:space="0"/>
              <w:right w:val="single" w:color="auto" w:sz="12" w:space="0"/>
            </w:tcBorders>
            <w:noWrap w:val="0"/>
            <w:vAlign w:val="center"/>
          </w:tcPr>
          <w:p w14:paraId="2BD1CC4D">
            <w:pPr>
              <w:jc w:val="center"/>
              <w:rPr>
                <w:rFonts w:ascii="宋体" w:hAnsi="宋体"/>
                <w:sz w:val="20"/>
                <w:szCs w:val="20"/>
              </w:rPr>
            </w:pPr>
          </w:p>
        </w:tc>
      </w:tr>
      <w:tr w14:paraId="4195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429" w:type="dxa"/>
            <w:gridSpan w:val="2"/>
            <w:vMerge w:val="continue"/>
            <w:tcBorders>
              <w:top w:val="single" w:color="auto" w:sz="6" w:space="0"/>
              <w:left w:val="single" w:color="auto" w:sz="12" w:space="0"/>
              <w:bottom w:val="single" w:color="auto" w:sz="6" w:space="0"/>
              <w:right w:val="single" w:color="auto" w:sz="6" w:space="0"/>
            </w:tcBorders>
            <w:noWrap w:val="0"/>
            <w:vAlign w:val="center"/>
          </w:tcPr>
          <w:p w14:paraId="79A9C9B0">
            <w:pPr>
              <w:jc w:val="center"/>
              <w:rPr>
                <w:rFonts w:ascii="宋体" w:hAnsi="宋体"/>
                <w:sz w:val="20"/>
                <w:szCs w:val="20"/>
              </w:rPr>
            </w:pPr>
          </w:p>
        </w:tc>
        <w:tc>
          <w:tcPr>
            <w:tcW w:w="1838" w:type="dxa"/>
            <w:tcBorders>
              <w:top w:val="single" w:color="auto" w:sz="6" w:space="0"/>
              <w:left w:val="single" w:color="auto" w:sz="6" w:space="0"/>
              <w:bottom w:val="single" w:color="auto" w:sz="6" w:space="0"/>
              <w:right w:val="single" w:color="auto" w:sz="6" w:space="0"/>
            </w:tcBorders>
            <w:noWrap w:val="0"/>
            <w:vAlign w:val="center"/>
          </w:tcPr>
          <w:p w14:paraId="01E9ED1F">
            <w:pPr>
              <w:widowControl/>
              <w:jc w:val="center"/>
              <w:rPr>
                <w:rFonts w:ascii="宋体" w:hAnsi="宋体"/>
                <w:bCs/>
              </w:rPr>
            </w:pPr>
            <w:r>
              <w:rPr>
                <w:rFonts w:ascii="宋体" w:hAnsi="宋体"/>
                <w:bCs/>
                <w:lang w:bidi="ar"/>
              </w:rPr>
              <w:t>二类保护物</w:t>
            </w:r>
          </w:p>
        </w:tc>
        <w:tc>
          <w:tcPr>
            <w:tcW w:w="1048" w:type="dxa"/>
            <w:tcBorders>
              <w:top w:val="single" w:color="auto" w:sz="6" w:space="0"/>
              <w:left w:val="single" w:color="auto" w:sz="6" w:space="0"/>
              <w:bottom w:val="single" w:color="auto" w:sz="6" w:space="0"/>
              <w:right w:val="single" w:color="auto" w:sz="6" w:space="0"/>
            </w:tcBorders>
            <w:noWrap w:val="0"/>
            <w:vAlign w:val="center"/>
          </w:tcPr>
          <w:p w14:paraId="54079BD6">
            <w:pPr>
              <w:widowControl/>
              <w:jc w:val="center"/>
              <w:rPr>
                <w:rFonts w:ascii="宋体" w:hAnsi="宋体"/>
                <w:bCs/>
              </w:rPr>
            </w:pPr>
            <w:r>
              <w:rPr>
                <w:rFonts w:ascii="宋体" w:hAnsi="宋体"/>
                <w:bCs/>
                <w:lang w:bidi="ar"/>
              </w:rPr>
              <w:t>35</w:t>
            </w:r>
          </w:p>
        </w:tc>
        <w:tc>
          <w:tcPr>
            <w:tcW w:w="938" w:type="dxa"/>
            <w:tcBorders>
              <w:top w:val="single" w:color="auto" w:sz="6" w:space="0"/>
              <w:left w:val="single" w:color="auto" w:sz="6" w:space="0"/>
              <w:bottom w:val="single" w:color="auto" w:sz="6" w:space="0"/>
              <w:right w:val="single" w:color="auto" w:sz="6" w:space="0"/>
            </w:tcBorders>
            <w:noWrap w:val="0"/>
            <w:vAlign w:val="center"/>
          </w:tcPr>
          <w:p w14:paraId="45F250C8">
            <w:pPr>
              <w:widowControl/>
              <w:jc w:val="center"/>
              <w:rPr>
                <w:rFonts w:ascii="宋体" w:hAnsi="宋体"/>
                <w:bCs/>
              </w:rPr>
            </w:pPr>
            <w:r>
              <w:rPr>
                <w:rFonts w:ascii="宋体" w:hAnsi="宋体"/>
                <w:bCs/>
                <w:lang w:bidi="ar"/>
              </w:rPr>
              <w:t>28</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0F58D6BD">
            <w:pPr>
              <w:widowControl/>
              <w:jc w:val="center"/>
              <w:rPr>
                <w:rFonts w:ascii="宋体" w:hAnsi="宋体"/>
                <w:bCs/>
              </w:rPr>
            </w:pPr>
            <w:r>
              <w:rPr>
                <w:rFonts w:ascii="宋体" w:hAnsi="宋体"/>
                <w:bCs/>
                <w:lang w:bidi="ar"/>
              </w:rPr>
              <w:t>22</w:t>
            </w:r>
          </w:p>
        </w:tc>
        <w:tc>
          <w:tcPr>
            <w:tcW w:w="882" w:type="dxa"/>
            <w:tcBorders>
              <w:top w:val="single" w:color="auto" w:sz="6" w:space="0"/>
              <w:left w:val="single" w:color="auto" w:sz="6" w:space="0"/>
              <w:bottom w:val="single" w:color="auto" w:sz="6" w:space="0"/>
              <w:right w:val="single" w:color="auto" w:sz="6" w:space="0"/>
            </w:tcBorders>
            <w:noWrap w:val="0"/>
            <w:vAlign w:val="center"/>
          </w:tcPr>
          <w:p w14:paraId="444A9D53">
            <w:pPr>
              <w:widowControl/>
              <w:jc w:val="center"/>
              <w:rPr>
                <w:rFonts w:ascii="宋体" w:hAnsi="宋体"/>
                <w:bCs/>
              </w:rPr>
            </w:pPr>
            <w:r>
              <w:rPr>
                <w:rFonts w:ascii="宋体" w:hAnsi="宋体"/>
                <w:bCs/>
                <w:lang w:bidi="ar"/>
              </w:rPr>
              <w:t>20</w:t>
            </w:r>
          </w:p>
        </w:tc>
        <w:tc>
          <w:tcPr>
            <w:tcW w:w="854" w:type="dxa"/>
            <w:tcBorders>
              <w:top w:val="single" w:color="auto" w:sz="6" w:space="0"/>
              <w:left w:val="single" w:color="auto" w:sz="6" w:space="0"/>
              <w:bottom w:val="single" w:color="auto" w:sz="6" w:space="0"/>
              <w:right w:val="single" w:color="auto" w:sz="6" w:space="0"/>
            </w:tcBorders>
            <w:noWrap w:val="0"/>
            <w:vAlign w:val="center"/>
          </w:tcPr>
          <w:p w14:paraId="06A5DF09">
            <w:pPr>
              <w:widowControl/>
              <w:jc w:val="center"/>
              <w:rPr>
                <w:rFonts w:ascii="宋体" w:hAnsi="宋体"/>
                <w:bCs/>
              </w:rPr>
            </w:pPr>
            <w:r>
              <w:rPr>
                <w:rFonts w:ascii="宋体" w:hAnsi="宋体"/>
                <w:bCs/>
                <w:lang w:bidi="ar"/>
              </w:rPr>
              <w:t>16</w:t>
            </w:r>
          </w:p>
        </w:tc>
        <w:tc>
          <w:tcPr>
            <w:tcW w:w="900" w:type="dxa"/>
            <w:tcBorders>
              <w:top w:val="single" w:color="auto" w:sz="6" w:space="0"/>
              <w:left w:val="single" w:color="auto" w:sz="6" w:space="0"/>
              <w:bottom w:val="single" w:color="auto" w:sz="6" w:space="0"/>
              <w:right w:val="single" w:color="auto" w:sz="12" w:space="0"/>
            </w:tcBorders>
            <w:noWrap w:val="0"/>
            <w:vAlign w:val="center"/>
          </w:tcPr>
          <w:p w14:paraId="6A951B17">
            <w:pPr>
              <w:widowControl/>
              <w:jc w:val="center"/>
              <w:rPr>
                <w:rFonts w:ascii="宋体" w:hAnsi="宋体"/>
                <w:bCs/>
              </w:rPr>
            </w:pPr>
            <w:r>
              <w:rPr>
                <w:rFonts w:ascii="宋体" w:hAnsi="宋体"/>
                <w:bCs/>
                <w:lang w:bidi="ar"/>
              </w:rPr>
              <w:t>14</w:t>
            </w:r>
          </w:p>
        </w:tc>
      </w:tr>
      <w:tr w14:paraId="343D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429" w:type="dxa"/>
            <w:gridSpan w:val="2"/>
            <w:vMerge w:val="continue"/>
            <w:tcBorders>
              <w:top w:val="single" w:color="auto" w:sz="6" w:space="0"/>
              <w:left w:val="single" w:color="auto" w:sz="12" w:space="0"/>
              <w:bottom w:val="single" w:color="auto" w:sz="6" w:space="0"/>
              <w:right w:val="single" w:color="auto" w:sz="6" w:space="0"/>
            </w:tcBorders>
            <w:noWrap w:val="0"/>
            <w:vAlign w:val="center"/>
          </w:tcPr>
          <w:p w14:paraId="2ACAA795">
            <w:pPr>
              <w:jc w:val="center"/>
              <w:rPr>
                <w:rFonts w:ascii="宋体" w:hAnsi="宋体"/>
                <w:sz w:val="20"/>
                <w:szCs w:val="20"/>
              </w:rPr>
            </w:pPr>
          </w:p>
        </w:tc>
        <w:tc>
          <w:tcPr>
            <w:tcW w:w="1838" w:type="dxa"/>
            <w:tcBorders>
              <w:top w:val="single" w:color="auto" w:sz="6" w:space="0"/>
              <w:left w:val="single" w:color="auto" w:sz="6" w:space="0"/>
              <w:bottom w:val="single" w:color="auto" w:sz="6" w:space="0"/>
              <w:right w:val="single" w:color="auto" w:sz="6" w:space="0"/>
            </w:tcBorders>
            <w:noWrap w:val="0"/>
            <w:vAlign w:val="center"/>
          </w:tcPr>
          <w:p w14:paraId="2B1ABA55">
            <w:pPr>
              <w:widowControl/>
              <w:jc w:val="center"/>
              <w:rPr>
                <w:rFonts w:ascii="宋体" w:hAnsi="宋体"/>
                <w:bCs/>
              </w:rPr>
            </w:pPr>
            <w:r>
              <w:rPr>
                <w:rFonts w:ascii="宋体" w:hAnsi="宋体"/>
                <w:bCs/>
                <w:lang w:bidi="ar"/>
              </w:rPr>
              <w:t>三类保护物</w:t>
            </w:r>
          </w:p>
        </w:tc>
        <w:tc>
          <w:tcPr>
            <w:tcW w:w="1048" w:type="dxa"/>
            <w:tcBorders>
              <w:top w:val="single" w:color="auto" w:sz="6" w:space="0"/>
              <w:left w:val="single" w:color="auto" w:sz="6" w:space="0"/>
              <w:bottom w:val="single" w:color="auto" w:sz="6" w:space="0"/>
              <w:right w:val="single" w:color="auto" w:sz="6" w:space="0"/>
            </w:tcBorders>
            <w:noWrap w:val="0"/>
            <w:vAlign w:val="center"/>
          </w:tcPr>
          <w:p w14:paraId="38E1BB6C">
            <w:pPr>
              <w:widowControl/>
              <w:jc w:val="center"/>
              <w:rPr>
                <w:rFonts w:ascii="宋体" w:hAnsi="宋体"/>
                <w:bCs/>
              </w:rPr>
            </w:pPr>
            <w:r>
              <w:rPr>
                <w:rFonts w:ascii="宋体" w:hAnsi="宋体"/>
                <w:bCs/>
                <w:lang w:bidi="ar"/>
              </w:rPr>
              <w:t>25</w:t>
            </w:r>
          </w:p>
        </w:tc>
        <w:tc>
          <w:tcPr>
            <w:tcW w:w="938" w:type="dxa"/>
            <w:tcBorders>
              <w:top w:val="single" w:color="auto" w:sz="6" w:space="0"/>
              <w:left w:val="single" w:color="auto" w:sz="6" w:space="0"/>
              <w:bottom w:val="single" w:color="auto" w:sz="6" w:space="0"/>
              <w:right w:val="single" w:color="auto" w:sz="6" w:space="0"/>
            </w:tcBorders>
            <w:noWrap w:val="0"/>
            <w:vAlign w:val="center"/>
          </w:tcPr>
          <w:p w14:paraId="457F1994">
            <w:pPr>
              <w:widowControl/>
              <w:jc w:val="center"/>
              <w:rPr>
                <w:rFonts w:ascii="宋体" w:hAnsi="宋体"/>
                <w:bCs/>
              </w:rPr>
            </w:pPr>
            <w:r>
              <w:rPr>
                <w:rFonts w:ascii="宋体" w:hAnsi="宋体"/>
                <w:bCs/>
                <w:lang w:bidi="ar"/>
              </w:rPr>
              <w:t>22</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0DE93F2D">
            <w:pPr>
              <w:widowControl/>
              <w:jc w:val="center"/>
              <w:rPr>
                <w:rFonts w:ascii="宋体" w:hAnsi="宋体"/>
                <w:bCs/>
              </w:rPr>
            </w:pPr>
            <w:r>
              <w:rPr>
                <w:rFonts w:ascii="宋体" w:hAnsi="宋体"/>
                <w:bCs/>
                <w:lang w:bidi="ar"/>
              </w:rPr>
              <w:t>18</w:t>
            </w:r>
          </w:p>
        </w:tc>
        <w:tc>
          <w:tcPr>
            <w:tcW w:w="882" w:type="dxa"/>
            <w:tcBorders>
              <w:top w:val="single" w:color="auto" w:sz="6" w:space="0"/>
              <w:left w:val="single" w:color="auto" w:sz="6" w:space="0"/>
              <w:bottom w:val="single" w:color="auto" w:sz="6" w:space="0"/>
              <w:right w:val="single" w:color="auto" w:sz="6" w:space="0"/>
            </w:tcBorders>
            <w:noWrap w:val="0"/>
            <w:vAlign w:val="center"/>
          </w:tcPr>
          <w:p w14:paraId="21C803EA">
            <w:pPr>
              <w:widowControl/>
              <w:jc w:val="center"/>
              <w:rPr>
                <w:rFonts w:ascii="宋体" w:hAnsi="宋体"/>
                <w:bCs/>
              </w:rPr>
            </w:pPr>
            <w:r>
              <w:rPr>
                <w:rFonts w:ascii="宋体" w:hAnsi="宋体"/>
                <w:bCs/>
                <w:lang w:bidi="ar"/>
              </w:rPr>
              <w:t>15</w:t>
            </w:r>
          </w:p>
        </w:tc>
        <w:tc>
          <w:tcPr>
            <w:tcW w:w="854" w:type="dxa"/>
            <w:tcBorders>
              <w:top w:val="single" w:color="auto" w:sz="6" w:space="0"/>
              <w:left w:val="single" w:color="auto" w:sz="6" w:space="0"/>
              <w:bottom w:val="single" w:color="auto" w:sz="6" w:space="0"/>
              <w:right w:val="single" w:color="auto" w:sz="6" w:space="0"/>
            </w:tcBorders>
            <w:noWrap w:val="0"/>
            <w:vAlign w:val="center"/>
          </w:tcPr>
          <w:p w14:paraId="72F0B7E7">
            <w:pPr>
              <w:widowControl/>
              <w:jc w:val="center"/>
              <w:rPr>
                <w:rFonts w:ascii="宋体" w:hAnsi="宋体"/>
                <w:bCs/>
              </w:rPr>
            </w:pPr>
            <w:r>
              <w:rPr>
                <w:rFonts w:ascii="宋体" w:hAnsi="宋体"/>
                <w:bCs/>
                <w:lang w:bidi="ar"/>
              </w:rPr>
              <w:t>13</w:t>
            </w:r>
          </w:p>
        </w:tc>
        <w:tc>
          <w:tcPr>
            <w:tcW w:w="900" w:type="dxa"/>
            <w:tcBorders>
              <w:top w:val="single" w:color="auto" w:sz="6" w:space="0"/>
              <w:left w:val="single" w:color="auto" w:sz="6" w:space="0"/>
              <w:bottom w:val="single" w:color="auto" w:sz="6" w:space="0"/>
              <w:right w:val="single" w:color="auto" w:sz="12" w:space="0"/>
            </w:tcBorders>
            <w:noWrap w:val="0"/>
            <w:vAlign w:val="center"/>
          </w:tcPr>
          <w:p w14:paraId="12052332">
            <w:pPr>
              <w:widowControl/>
              <w:jc w:val="center"/>
              <w:rPr>
                <w:rFonts w:ascii="宋体" w:hAnsi="宋体"/>
                <w:bCs/>
              </w:rPr>
            </w:pPr>
            <w:r>
              <w:rPr>
                <w:rFonts w:ascii="宋体" w:hAnsi="宋体"/>
                <w:bCs/>
                <w:lang w:bidi="ar"/>
              </w:rPr>
              <w:t>11</w:t>
            </w:r>
          </w:p>
        </w:tc>
      </w:tr>
      <w:tr w14:paraId="5BC9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14:paraId="3B2AE991">
            <w:pPr>
              <w:widowControl/>
              <w:rPr>
                <w:rFonts w:ascii="宋体" w:hAnsi="宋体"/>
                <w:bCs/>
              </w:rPr>
            </w:pPr>
            <w:r>
              <w:rPr>
                <w:rFonts w:ascii="宋体" w:hAnsi="宋体"/>
                <w:bCs/>
                <w:lang w:bidi="ar"/>
              </w:rPr>
              <w:t>甲、乙类物品生产厂房、库房和甲、乙类液体储罐</w:t>
            </w:r>
          </w:p>
        </w:tc>
        <w:tc>
          <w:tcPr>
            <w:tcW w:w="1048" w:type="dxa"/>
            <w:tcBorders>
              <w:top w:val="single" w:color="auto" w:sz="6" w:space="0"/>
              <w:left w:val="single" w:color="auto" w:sz="6" w:space="0"/>
              <w:bottom w:val="single" w:color="auto" w:sz="6" w:space="0"/>
              <w:right w:val="single" w:color="auto" w:sz="6" w:space="0"/>
            </w:tcBorders>
            <w:noWrap w:val="0"/>
            <w:vAlign w:val="center"/>
          </w:tcPr>
          <w:p w14:paraId="18A4E3CC">
            <w:pPr>
              <w:widowControl/>
              <w:jc w:val="center"/>
              <w:rPr>
                <w:rFonts w:ascii="宋体" w:hAnsi="宋体"/>
                <w:bCs/>
              </w:rPr>
            </w:pPr>
            <w:r>
              <w:rPr>
                <w:rFonts w:ascii="宋体" w:hAnsi="宋体"/>
                <w:bCs/>
                <w:lang w:bidi="ar"/>
              </w:rPr>
              <w:t>45</w:t>
            </w:r>
          </w:p>
        </w:tc>
        <w:tc>
          <w:tcPr>
            <w:tcW w:w="938" w:type="dxa"/>
            <w:tcBorders>
              <w:top w:val="single" w:color="auto" w:sz="6" w:space="0"/>
              <w:left w:val="single" w:color="auto" w:sz="6" w:space="0"/>
              <w:bottom w:val="single" w:color="auto" w:sz="6" w:space="0"/>
              <w:right w:val="single" w:color="auto" w:sz="6" w:space="0"/>
            </w:tcBorders>
            <w:noWrap w:val="0"/>
            <w:vAlign w:val="center"/>
          </w:tcPr>
          <w:p w14:paraId="2A8ACCAC">
            <w:pPr>
              <w:widowControl/>
              <w:jc w:val="center"/>
              <w:rPr>
                <w:rFonts w:ascii="宋体" w:hAnsi="宋体"/>
                <w:bCs/>
              </w:rPr>
            </w:pPr>
            <w:r>
              <w:rPr>
                <w:rFonts w:ascii="宋体" w:hAnsi="宋体"/>
                <w:bCs/>
                <w:lang w:bidi="ar"/>
              </w:rPr>
              <w:t>45</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4E0B189E">
            <w:pPr>
              <w:widowControl/>
              <w:jc w:val="center"/>
              <w:rPr>
                <w:rFonts w:ascii="宋体" w:hAnsi="宋体"/>
                <w:bCs/>
              </w:rPr>
            </w:pPr>
            <w:r>
              <w:rPr>
                <w:rFonts w:ascii="宋体" w:hAnsi="宋体"/>
                <w:bCs/>
                <w:lang w:bidi="ar"/>
              </w:rPr>
              <w:t>40</w:t>
            </w:r>
          </w:p>
        </w:tc>
        <w:tc>
          <w:tcPr>
            <w:tcW w:w="882" w:type="dxa"/>
            <w:tcBorders>
              <w:top w:val="single" w:color="auto" w:sz="6" w:space="0"/>
              <w:left w:val="single" w:color="auto" w:sz="6" w:space="0"/>
              <w:bottom w:val="single" w:color="auto" w:sz="6" w:space="0"/>
              <w:right w:val="single" w:color="auto" w:sz="6" w:space="0"/>
            </w:tcBorders>
            <w:noWrap w:val="0"/>
            <w:vAlign w:val="center"/>
          </w:tcPr>
          <w:p w14:paraId="3A131CD5">
            <w:pPr>
              <w:widowControl/>
              <w:jc w:val="center"/>
              <w:rPr>
                <w:rFonts w:ascii="宋体" w:hAnsi="宋体"/>
                <w:bCs/>
              </w:rPr>
            </w:pPr>
            <w:r>
              <w:rPr>
                <w:rFonts w:ascii="宋体" w:hAnsi="宋体"/>
                <w:bCs/>
                <w:lang w:bidi="ar"/>
              </w:rPr>
              <w:t>25</w:t>
            </w:r>
          </w:p>
        </w:tc>
        <w:tc>
          <w:tcPr>
            <w:tcW w:w="854" w:type="dxa"/>
            <w:tcBorders>
              <w:top w:val="single" w:color="auto" w:sz="6" w:space="0"/>
              <w:left w:val="single" w:color="auto" w:sz="6" w:space="0"/>
              <w:bottom w:val="single" w:color="auto" w:sz="6" w:space="0"/>
              <w:right w:val="single" w:color="auto" w:sz="6" w:space="0"/>
            </w:tcBorders>
            <w:noWrap w:val="0"/>
            <w:vAlign w:val="center"/>
          </w:tcPr>
          <w:p w14:paraId="09AC315F">
            <w:pPr>
              <w:widowControl/>
              <w:jc w:val="center"/>
              <w:rPr>
                <w:rFonts w:ascii="宋体" w:hAnsi="宋体"/>
                <w:bCs/>
              </w:rPr>
            </w:pPr>
            <w:r>
              <w:rPr>
                <w:rFonts w:ascii="宋体" w:hAnsi="宋体"/>
                <w:bCs/>
                <w:lang w:bidi="ar"/>
              </w:rPr>
              <w:t>22</w:t>
            </w:r>
          </w:p>
        </w:tc>
        <w:tc>
          <w:tcPr>
            <w:tcW w:w="900" w:type="dxa"/>
            <w:tcBorders>
              <w:top w:val="single" w:color="auto" w:sz="6" w:space="0"/>
              <w:left w:val="single" w:color="auto" w:sz="6" w:space="0"/>
              <w:bottom w:val="single" w:color="auto" w:sz="6" w:space="0"/>
              <w:right w:val="single" w:color="auto" w:sz="12" w:space="0"/>
            </w:tcBorders>
            <w:noWrap w:val="0"/>
            <w:vAlign w:val="center"/>
          </w:tcPr>
          <w:p w14:paraId="0E65CC3B">
            <w:pPr>
              <w:widowControl/>
              <w:jc w:val="center"/>
              <w:rPr>
                <w:rFonts w:ascii="宋体" w:hAnsi="宋体"/>
                <w:bCs/>
              </w:rPr>
            </w:pPr>
            <w:r>
              <w:rPr>
                <w:rFonts w:ascii="宋体" w:hAnsi="宋体"/>
                <w:bCs/>
                <w:lang w:bidi="ar"/>
              </w:rPr>
              <w:t>18</w:t>
            </w:r>
          </w:p>
        </w:tc>
      </w:tr>
      <w:tr w14:paraId="1C7A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14:paraId="1458089E">
            <w:pPr>
              <w:widowControl/>
              <w:rPr>
                <w:rFonts w:ascii="宋体" w:hAnsi="宋体"/>
                <w:bCs/>
              </w:rPr>
            </w:pPr>
            <w:r>
              <w:rPr>
                <w:rFonts w:ascii="宋体" w:hAnsi="宋体"/>
                <w:bCs/>
                <w:lang w:bidi="ar"/>
              </w:rPr>
              <w:t>丙、丁、戊类物品生产厂房、库房和丙类液体储罐，以及容积不大于50m</w:t>
            </w:r>
            <w:r>
              <w:rPr>
                <w:rFonts w:ascii="宋体" w:hAnsi="宋体"/>
                <w:bCs/>
                <w:vertAlign w:val="superscript"/>
                <w:lang w:bidi="ar"/>
              </w:rPr>
              <w:t>3</w:t>
            </w:r>
            <w:r>
              <w:rPr>
                <w:rFonts w:ascii="宋体" w:hAnsi="宋体"/>
                <w:bCs/>
                <w:lang w:bidi="ar"/>
              </w:rPr>
              <w:t>的埋地甲、乙类液体储罐</w:t>
            </w:r>
          </w:p>
        </w:tc>
        <w:tc>
          <w:tcPr>
            <w:tcW w:w="1048" w:type="dxa"/>
            <w:tcBorders>
              <w:top w:val="single" w:color="auto" w:sz="6" w:space="0"/>
              <w:left w:val="single" w:color="auto" w:sz="6" w:space="0"/>
              <w:bottom w:val="single" w:color="auto" w:sz="6" w:space="0"/>
              <w:right w:val="single" w:color="auto" w:sz="6" w:space="0"/>
            </w:tcBorders>
            <w:noWrap w:val="0"/>
            <w:vAlign w:val="center"/>
          </w:tcPr>
          <w:p w14:paraId="6D18CE9A">
            <w:pPr>
              <w:widowControl/>
              <w:jc w:val="center"/>
              <w:rPr>
                <w:rFonts w:ascii="宋体" w:hAnsi="宋体"/>
                <w:bCs/>
              </w:rPr>
            </w:pPr>
            <w:r>
              <w:rPr>
                <w:rFonts w:ascii="宋体" w:hAnsi="宋体"/>
                <w:bCs/>
                <w:lang w:bidi="ar"/>
              </w:rPr>
              <w:t>32</w:t>
            </w:r>
          </w:p>
        </w:tc>
        <w:tc>
          <w:tcPr>
            <w:tcW w:w="938" w:type="dxa"/>
            <w:tcBorders>
              <w:top w:val="single" w:color="auto" w:sz="6" w:space="0"/>
              <w:left w:val="single" w:color="auto" w:sz="6" w:space="0"/>
              <w:bottom w:val="single" w:color="auto" w:sz="6" w:space="0"/>
              <w:right w:val="single" w:color="auto" w:sz="6" w:space="0"/>
            </w:tcBorders>
            <w:noWrap w:val="0"/>
            <w:vAlign w:val="center"/>
          </w:tcPr>
          <w:p w14:paraId="113139FC">
            <w:pPr>
              <w:widowControl/>
              <w:jc w:val="center"/>
              <w:rPr>
                <w:rFonts w:ascii="宋体" w:hAnsi="宋体"/>
                <w:bCs/>
              </w:rPr>
            </w:pPr>
            <w:r>
              <w:rPr>
                <w:rFonts w:ascii="宋体" w:hAnsi="宋体"/>
                <w:bCs/>
                <w:lang w:bidi="ar"/>
              </w:rPr>
              <w:t>32</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77DDD82E">
            <w:pPr>
              <w:widowControl/>
              <w:jc w:val="center"/>
              <w:rPr>
                <w:rFonts w:ascii="宋体" w:hAnsi="宋体"/>
                <w:bCs/>
              </w:rPr>
            </w:pPr>
            <w:r>
              <w:rPr>
                <w:rFonts w:ascii="宋体" w:hAnsi="宋体"/>
                <w:bCs/>
                <w:lang w:bidi="ar"/>
              </w:rPr>
              <w:t>28</w:t>
            </w:r>
          </w:p>
        </w:tc>
        <w:tc>
          <w:tcPr>
            <w:tcW w:w="882" w:type="dxa"/>
            <w:tcBorders>
              <w:top w:val="single" w:color="auto" w:sz="6" w:space="0"/>
              <w:left w:val="single" w:color="auto" w:sz="6" w:space="0"/>
              <w:bottom w:val="single" w:color="auto" w:sz="6" w:space="0"/>
              <w:right w:val="single" w:color="auto" w:sz="6" w:space="0"/>
            </w:tcBorders>
            <w:noWrap w:val="0"/>
            <w:vAlign w:val="center"/>
          </w:tcPr>
          <w:p w14:paraId="5A62650A">
            <w:pPr>
              <w:widowControl/>
              <w:jc w:val="center"/>
              <w:rPr>
                <w:rFonts w:ascii="宋体" w:hAnsi="宋体"/>
                <w:bCs/>
              </w:rPr>
            </w:pPr>
            <w:r>
              <w:rPr>
                <w:rFonts w:ascii="宋体" w:hAnsi="宋体"/>
                <w:bCs/>
                <w:lang w:bidi="ar"/>
              </w:rPr>
              <w:t>18</w:t>
            </w:r>
          </w:p>
        </w:tc>
        <w:tc>
          <w:tcPr>
            <w:tcW w:w="854" w:type="dxa"/>
            <w:tcBorders>
              <w:top w:val="single" w:color="auto" w:sz="6" w:space="0"/>
              <w:left w:val="single" w:color="auto" w:sz="6" w:space="0"/>
              <w:bottom w:val="single" w:color="auto" w:sz="6" w:space="0"/>
              <w:right w:val="single" w:color="auto" w:sz="6" w:space="0"/>
            </w:tcBorders>
            <w:noWrap w:val="0"/>
            <w:vAlign w:val="center"/>
          </w:tcPr>
          <w:p w14:paraId="475ADB71">
            <w:pPr>
              <w:widowControl/>
              <w:jc w:val="center"/>
              <w:rPr>
                <w:rFonts w:ascii="宋体" w:hAnsi="宋体"/>
                <w:bCs/>
              </w:rPr>
            </w:pPr>
            <w:r>
              <w:rPr>
                <w:rFonts w:ascii="宋体" w:hAnsi="宋体"/>
                <w:bCs/>
                <w:lang w:bidi="ar"/>
              </w:rPr>
              <w:t>16</w:t>
            </w:r>
          </w:p>
        </w:tc>
        <w:tc>
          <w:tcPr>
            <w:tcW w:w="900" w:type="dxa"/>
            <w:tcBorders>
              <w:top w:val="single" w:color="auto" w:sz="6" w:space="0"/>
              <w:left w:val="single" w:color="auto" w:sz="6" w:space="0"/>
              <w:bottom w:val="single" w:color="auto" w:sz="6" w:space="0"/>
              <w:right w:val="single" w:color="auto" w:sz="12" w:space="0"/>
            </w:tcBorders>
            <w:noWrap w:val="0"/>
            <w:vAlign w:val="center"/>
          </w:tcPr>
          <w:p w14:paraId="73ACAE89">
            <w:pPr>
              <w:widowControl/>
              <w:jc w:val="center"/>
              <w:rPr>
                <w:rFonts w:ascii="宋体" w:hAnsi="宋体"/>
                <w:bCs/>
              </w:rPr>
            </w:pPr>
            <w:r>
              <w:rPr>
                <w:rFonts w:ascii="宋体" w:hAnsi="宋体"/>
                <w:bCs/>
                <w:lang w:bidi="ar"/>
              </w:rPr>
              <w:t>15</w:t>
            </w:r>
          </w:p>
        </w:tc>
      </w:tr>
      <w:tr w14:paraId="4578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14:paraId="2C31F9C7">
            <w:pPr>
              <w:widowControl/>
              <w:jc w:val="center"/>
              <w:rPr>
                <w:rFonts w:ascii="宋体" w:hAnsi="宋体"/>
                <w:bCs/>
              </w:rPr>
            </w:pPr>
            <w:r>
              <w:rPr>
                <w:rFonts w:ascii="宋体" w:hAnsi="宋体"/>
                <w:bCs/>
                <w:lang w:bidi="ar"/>
              </w:rPr>
              <w:t>室外变配电站</w:t>
            </w:r>
          </w:p>
        </w:tc>
        <w:tc>
          <w:tcPr>
            <w:tcW w:w="1048" w:type="dxa"/>
            <w:tcBorders>
              <w:top w:val="single" w:color="auto" w:sz="6" w:space="0"/>
              <w:left w:val="single" w:color="auto" w:sz="6" w:space="0"/>
              <w:bottom w:val="single" w:color="auto" w:sz="6" w:space="0"/>
              <w:right w:val="single" w:color="auto" w:sz="6" w:space="0"/>
            </w:tcBorders>
            <w:noWrap w:val="0"/>
            <w:vAlign w:val="center"/>
          </w:tcPr>
          <w:p w14:paraId="6D54FA2B">
            <w:pPr>
              <w:widowControl/>
              <w:jc w:val="center"/>
              <w:rPr>
                <w:rFonts w:ascii="宋体" w:hAnsi="宋体"/>
                <w:bCs/>
              </w:rPr>
            </w:pPr>
            <w:r>
              <w:rPr>
                <w:rFonts w:ascii="宋体" w:hAnsi="宋体"/>
                <w:bCs/>
                <w:lang w:bidi="ar"/>
              </w:rPr>
              <w:t>45</w:t>
            </w:r>
          </w:p>
        </w:tc>
        <w:tc>
          <w:tcPr>
            <w:tcW w:w="938" w:type="dxa"/>
            <w:tcBorders>
              <w:top w:val="single" w:color="auto" w:sz="6" w:space="0"/>
              <w:left w:val="single" w:color="auto" w:sz="6" w:space="0"/>
              <w:bottom w:val="single" w:color="auto" w:sz="6" w:space="0"/>
              <w:right w:val="single" w:color="auto" w:sz="6" w:space="0"/>
            </w:tcBorders>
            <w:noWrap w:val="0"/>
            <w:vAlign w:val="center"/>
          </w:tcPr>
          <w:p w14:paraId="60CB4C20">
            <w:pPr>
              <w:widowControl/>
              <w:jc w:val="center"/>
              <w:rPr>
                <w:rFonts w:ascii="宋体" w:hAnsi="宋体"/>
                <w:bCs/>
              </w:rPr>
            </w:pPr>
            <w:r>
              <w:rPr>
                <w:rFonts w:ascii="宋体" w:hAnsi="宋体"/>
                <w:bCs/>
                <w:lang w:bidi="ar"/>
              </w:rPr>
              <w:t>45</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7797A321">
            <w:pPr>
              <w:widowControl/>
              <w:jc w:val="center"/>
              <w:rPr>
                <w:rFonts w:ascii="宋体" w:hAnsi="宋体"/>
                <w:bCs/>
              </w:rPr>
            </w:pPr>
            <w:r>
              <w:rPr>
                <w:rFonts w:ascii="宋体" w:hAnsi="宋体"/>
                <w:bCs/>
                <w:lang w:bidi="ar"/>
              </w:rPr>
              <w:t>40</w:t>
            </w:r>
          </w:p>
        </w:tc>
        <w:tc>
          <w:tcPr>
            <w:tcW w:w="882" w:type="dxa"/>
            <w:tcBorders>
              <w:top w:val="single" w:color="auto" w:sz="6" w:space="0"/>
              <w:left w:val="single" w:color="auto" w:sz="6" w:space="0"/>
              <w:bottom w:val="single" w:color="auto" w:sz="6" w:space="0"/>
              <w:right w:val="single" w:color="auto" w:sz="6" w:space="0"/>
            </w:tcBorders>
            <w:noWrap w:val="0"/>
            <w:vAlign w:val="center"/>
          </w:tcPr>
          <w:p w14:paraId="79B3D72E">
            <w:pPr>
              <w:widowControl/>
              <w:jc w:val="center"/>
              <w:rPr>
                <w:rFonts w:ascii="宋体" w:hAnsi="宋体"/>
                <w:bCs/>
              </w:rPr>
            </w:pPr>
            <w:r>
              <w:rPr>
                <w:rFonts w:ascii="宋体" w:hAnsi="宋体"/>
                <w:bCs/>
                <w:lang w:bidi="ar"/>
              </w:rPr>
              <w:t>25</w:t>
            </w:r>
          </w:p>
        </w:tc>
        <w:tc>
          <w:tcPr>
            <w:tcW w:w="854" w:type="dxa"/>
            <w:tcBorders>
              <w:top w:val="single" w:color="auto" w:sz="6" w:space="0"/>
              <w:left w:val="single" w:color="auto" w:sz="6" w:space="0"/>
              <w:bottom w:val="single" w:color="auto" w:sz="6" w:space="0"/>
              <w:right w:val="single" w:color="auto" w:sz="6" w:space="0"/>
            </w:tcBorders>
            <w:noWrap w:val="0"/>
            <w:vAlign w:val="center"/>
          </w:tcPr>
          <w:p w14:paraId="19C66D74">
            <w:pPr>
              <w:widowControl/>
              <w:jc w:val="center"/>
              <w:rPr>
                <w:rFonts w:ascii="宋体" w:hAnsi="宋体"/>
                <w:bCs/>
              </w:rPr>
            </w:pPr>
            <w:r>
              <w:rPr>
                <w:rFonts w:ascii="宋体" w:hAnsi="宋体"/>
                <w:bCs/>
                <w:lang w:bidi="ar"/>
              </w:rPr>
              <w:t>22</w:t>
            </w:r>
          </w:p>
        </w:tc>
        <w:tc>
          <w:tcPr>
            <w:tcW w:w="900" w:type="dxa"/>
            <w:tcBorders>
              <w:top w:val="single" w:color="auto" w:sz="6" w:space="0"/>
              <w:left w:val="single" w:color="auto" w:sz="6" w:space="0"/>
              <w:bottom w:val="single" w:color="auto" w:sz="6" w:space="0"/>
              <w:right w:val="single" w:color="auto" w:sz="12" w:space="0"/>
            </w:tcBorders>
            <w:noWrap w:val="0"/>
            <w:vAlign w:val="center"/>
          </w:tcPr>
          <w:p w14:paraId="5EB2373D">
            <w:pPr>
              <w:widowControl/>
              <w:jc w:val="center"/>
              <w:rPr>
                <w:rFonts w:ascii="宋体" w:hAnsi="宋体"/>
                <w:bCs/>
              </w:rPr>
            </w:pPr>
            <w:r>
              <w:rPr>
                <w:rFonts w:ascii="宋体" w:hAnsi="宋体"/>
                <w:bCs/>
                <w:lang w:bidi="ar"/>
              </w:rPr>
              <w:t>18</w:t>
            </w:r>
          </w:p>
        </w:tc>
      </w:tr>
      <w:tr w14:paraId="1B39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14:paraId="12939B81">
            <w:pPr>
              <w:widowControl/>
              <w:jc w:val="center"/>
              <w:rPr>
                <w:rFonts w:ascii="宋体" w:hAnsi="宋体"/>
                <w:bCs/>
              </w:rPr>
            </w:pPr>
            <w:r>
              <w:rPr>
                <w:rFonts w:ascii="宋体" w:hAnsi="宋体"/>
                <w:bCs/>
                <w:lang w:bidi="ar"/>
              </w:rPr>
              <w:t>铁</w:t>
            </w:r>
            <w:r>
              <w:rPr>
                <w:rFonts w:hint="eastAsia" w:ascii="宋体" w:hAnsi="宋体"/>
                <w:bCs/>
                <w:lang w:bidi="ar"/>
              </w:rPr>
              <w:t xml:space="preserve">  </w:t>
            </w:r>
            <w:r>
              <w:rPr>
                <w:rFonts w:ascii="宋体" w:hAnsi="宋体"/>
                <w:bCs/>
                <w:lang w:bidi="ar"/>
              </w:rPr>
              <w:t>路</w:t>
            </w:r>
          </w:p>
        </w:tc>
        <w:tc>
          <w:tcPr>
            <w:tcW w:w="1048" w:type="dxa"/>
            <w:tcBorders>
              <w:top w:val="single" w:color="auto" w:sz="6" w:space="0"/>
              <w:left w:val="single" w:color="auto" w:sz="6" w:space="0"/>
              <w:bottom w:val="single" w:color="auto" w:sz="6" w:space="0"/>
              <w:right w:val="single" w:color="auto" w:sz="6" w:space="0"/>
            </w:tcBorders>
            <w:noWrap w:val="0"/>
            <w:vAlign w:val="center"/>
          </w:tcPr>
          <w:p w14:paraId="5E9D9D23">
            <w:pPr>
              <w:widowControl/>
              <w:jc w:val="center"/>
              <w:rPr>
                <w:rFonts w:ascii="宋体" w:hAnsi="宋体"/>
                <w:bCs/>
              </w:rPr>
            </w:pPr>
            <w:r>
              <w:rPr>
                <w:rFonts w:ascii="宋体" w:hAnsi="宋体"/>
                <w:bCs/>
                <w:lang w:bidi="ar"/>
              </w:rPr>
              <w:t>45</w:t>
            </w:r>
          </w:p>
        </w:tc>
        <w:tc>
          <w:tcPr>
            <w:tcW w:w="938" w:type="dxa"/>
            <w:tcBorders>
              <w:top w:val="single" w:color="auto" w:sz="6" w:space="0"/>
              <w:left w:val="single" w:color="auto" w:sz="6" w:space="0"/>
              <w:bottom w:val="single" w:color="auto" w:sz="6" w:space="0"/>
              <w:right w:val="single" w:color="auto" w:sz="6" w:space="0"/>
            </w:tcBorders>
            <w:noWrap w:val="0"/>
            <w:vAlign w:val="center"/>
          </w:tcPr>
          <w:p w14:paraId="06E19A42">
            <w:pPr>
              <w:widowControl/>
              <w:jc w:val="center"/>
              <w:rPr>
                <w:rFonts w:ascii="宋体" w:hAnsi="宋体"/>
                <w:bCs/>
              </w:rPr>
            </w:pPr>
            <w:r>
              <w:rPr>
                <w:rFonts w:ascii="宋体" w:hAnsi="宋体"/>
                <w:bCs/>
                <w:lang w:bidi="ar"/>
              </w:rPr>
              <w:t>45</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5A988A60">
            <w:pPr>
              <w:widowControl/>
              <w:jc w:val="center"/>
              <w:rPr>
                <w:rFonts w:ascii="宋体" w:hAnsi="宋体"/>
                <w:bCs/>
              </w:rPr>
            </w:pPr>
            <w:r>
              <w:rPr>
                <w:rFonts w:ascii="宋体" w:hAnsi="宋体"/>
                <w:bCs/>
                <w:lang w:bidi="ar"/>
              </w:rPr>
              <w:t>45</w:t>
            </w:r>
          </w:p>
        </w:tc>
        <w:tc>
          <w:tcPr>
            <w:tcW w:w="882" w:type="dxa"/>
            <w:tcBorders>
              <w:top w:val="single" w:color="auto" w:sz="6" w:space="0"/>
              <w:left w:val="single" w:color="auto" w:sz="6" w:space="0"/>
              <w:bottom w:val="single" w:color="auto" w:sz="6" w:space="0"/>
              <w:right w:val="single" w:color="auto" w:sz="6" w:space="0"/>
            </w:tcBorders>
            <w:noWrap w:val="0"/>
            <w:vAlign w:val="center"/>
          </w:tcPr>
          <w:p w14:paraId="3318B517">
            <w:pPr>
              <w:widowControl/>
              <w:jc w:val="center"/>
              <w:rPr>
                <w:rFonts w:ascii="宋体" w:hAnsi="宋体"/>
                <w:bCs/>
              </w:rPr>
            </w:pPr>
            <w:r>
              <w:rPr>
                <w:rFonts w:ascii="宋体" w:hAnsi="宋体"/>
                <w:bCs/>
                <w:lang w:bidi="ar"/>
              </w:rPr>
              <w:t>22</w:t>
            </w:r>
          </w:p>
        </w:tc>
        <w:tc>
          <w:tcPr>
            <w:tcW w:w="854" w:type="dxa"/>
            <w:tcBorders>
              <w:top w:val="single" w:color="auto" w:sz="6" w:space="0"/>
              <w:left w:val="single" w:color="auto" w:sz="6" w:space="0"/>
              <w:bottom w:val="single" w:color="auto" w:sz="6" w:space="0"/>
              <w:right w:val="single" w:color="auto" w:sz="6" w:space="0"/>
            </w:tcBorders>
            <w:noWrap w:val="0"/>
            <w:vAlign w:val="center"/>
          </w:tcPr>
          <w:p w14:paraId="16BA41C9">
            <w:pPr>
              <w:widowControl/>
              <w:jc w:val="center"/>
              <w:rPr>
                <w:rFonts w:ascii="宋体" w:hAnsi="宋体"/>
                <w:bCs/>
              </w:rPr>
            </w:pPr>
            <w:r>
              <w:rPr>
                <w:rFonts w:ascii="宋体" w:hAnsi="宋体"/>
                <w:bCs/>
                <w:lang w:bidi="ar"/>
              </w:rPr>
              <w:t>22</w:t>
            </w:r>
          </w:p>
        </w:tc>
        <w:tc>
          <w:tcPr>
            <w:tcW w:w="900" w:type="dxa"/>
            <w:tcBorders>
              <w:top w:val="single" w:color="auto" w:sz="6" w:space="0"/>
              <w:left w:val="single" w:color="auto" w:sz="6" w:space="0"/>
              <w:bottom w:val="single" w:color="auto" w:sz="6" w:space="0"/>
              <w:right w:val="single" w:color="auto" w:sz="12" w:space="0"/>
            </w:tcBorders>
            <w:noWrap w:val="0"/>
            <w:vAlign w:val="center"/>
          </w:tcPr>
          <w:p w14:paraId="11270330">
            <w:pPr>
              <w:widowControl/>
              <w:jc w:val="center"/>
              <w:rPr>
                <w:rFonts w:ascii="宋体" w:hAnsi="宋体"/>
                <w:bCs/>
              </w:rPr>
            </w:pPr>
            <w:r>
              <w:rPr>
                <w:rFonts w:ascii="宋体" w:hAnsi="宋体"/>
                <w:bCs/>
                <w:lang w:bidi="ar"/>
              </w:rPr>
              <w:t>22</w:t>
            </w:r>
          </w:p>
        </w:tc>
      </w:tr>
      <w:tr w14:paraId="7A27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1429" w:type="dxa"/>
            <w:gridSpan w:val="2"/>
            <w:vMerge w:val="restart"/>
            <w:tcBorders>
              <w:top w:val="single" w:color="auto" w:sz="6" w:space="0"/>
              <w:left w:val="single" w:color="auto" w:sz="12" w:space="0"/>
              <w:bottom w:val="single" w:color="auto" w:sz="6" w:space="0"/>
              <w:right w:val="single" w:color="auto" w:sz="6" w:space="0"/>
            </w:tcBorders>
            <w:noWrap w:val="0"/>
            <w:vAlign w:val="center"/>
          </w:tcPr>
          <w:p w14:paraId="4F967168">
            <w:pPr>
              <w:widowControl/>
              <w:jc w:val="center"/>
              <w:rPr>
                <w:rFonts w:ascii="宋体" w:hAnsi="宋体"/>
                <w:bCs/>
              </w:rPr>
            </w:pPr>
            <w:r>
              <w:rPr>
                <w:rFonts w:ascii="宋体" w:hAnsi="宋体"/>
                <w:bCs/>
                <w:lang w:bidi="ar"/>
              </w:rPr>
              <w:t>城市道路</w:t>
            </w:r>
          </w:p>
        </w:tc>
        <w:tc>
          <w:tcPr>
            <w:tcW w:w="1838" w:type="dxa"/>
            <w:tcBorders>
              <w:top w:val="single" w:color="auto" w:sz="6" w:space="0"/>
              <w:left w:val="single" w:color="auto" w:sz="6" w:space="0"/>
              <w:bottom w:val="single" w:color="auto" w:sz="6" w:space="0"/>
              <w:right w:val="single" w:color="auto" w:sz="6" w:space="0"/>
            </w:tcBorders>
            <w:noWrap w:val="0"/>
            <w:vAlign w:val="center"/>
          </w:tcPr>
          <w:p w14:paraId="0EBB27FB">
            <w:pPr>
              <w:widowControl/>
              <w:jc w:val="center"/>
              <w:rPr>
                <w:rFonts w:ascii="宋体" w:hAnsi="宋体"/>
                <w:bCs/>
              </w:rPr>
            </w:pPr>
            <w:r>
              <w:rPr>
                <w:rFonts w:ascii="宋体" w:hAnsi="宋体"/>
                <w:bCs/>
                <w:lang w:bidi="ar"/>
              </w:rPr>
              <w:t>快速路、主干路</w:t>
            </w:r>
          </w:p>
        </w:tc>
        <w:tc>
          <w:tcPr>
            <w:tcW w:w="1048" w:type="dxa"/>
            <w:tcBorders>
              <w:top w:val="single" w:color="auto" w:sz="6" w:space="0"/>
              <w:left w:val="single" w:color="auto" w:sz="6" w:space="0"/>
              <w:bottom w:val="single" w:color="auto" w:sz="6" w:space="0"/>
              <w:right w:val="single" w:color="auto" w:sz="6" w:space="0"/>
            </w:tcBorders>
            <w:noWrap w:val="0"/>
            <w:vAlign w:val="center"/>
          </w:tcPr>
          <w:p w14:paraId="7B8B5856">
            <w:pPr>
              <w:widowControl/>
              <w:jc w:val="center"/>
              <w:rPr>
                <w:rFonts w:ascii="宋体" w:hAnsi="宋体"/>
                <w:bCs/>
              </w:rPr>
            </w:pPr>
            <w:r>
              <w:rPr>
                <w:rFonts w:ascii="宋体" w:hAnsi="宋体"/>
                <w:bCs/>
                <w:lang w:bidi="ar"/>
              </w:rPr>
              <w:t>15</w:t>
            </w:r>
          </w:p>
        </w:tc>
        <w:tc>
          <w:tcPr>
            <w:tcW w:w="938" w:type="dxa"/>
            <w:tcBorders>
              <w:top w:val="single" w:color="auto" w:sz="6" w:space="0"/>
              <w:left w:val="single" w:color="auto" w:sz="6" w:space="0"/>
              <w:bottom w:val="single" w:color="auto" w:sz="6" w:space="0"/>
              <w:right w:val="single" w:color="auto" w:sz="6" w:space="0"/>
            </w:tcBorders>
            <w:noWrap w:val="0"/>
            <w:vAlign w:val="center"/>
          </w:tcPr>
          <w:p w14:paraId="3483AA52">
            <w:pPr>
              <w:widowControl/>
              <w:jc w:val="center"/>
              <w:rPr>
                <w:rFonts w:ascii="宋体" w:hAnsi="宋体"/>
                <w:bCs/>
              </w:rPr>
            </w:pPr>
            <w:r>
              <w:rPr>
                <w:rFonts w:ascii="宋体" w:hAnsi="宋体"/>
                <w:bCs/>
                <w:lang w:bidi="ar"/>
              </w:rPr>
              <w:t>13</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42CCB163">
            <w:pPr>
              <w:widowControl/>
              <w:jc w:val="center"/>
              <w:rPr>
                <w:rFonts w:ascii="宋体" w:hAnsi="宋体"/>
                <w:bCs/>
              </w:rPr>
            </w:pPr>
            <w:r>
              <w:rPr>
                <w:rFonts w:ascii="宋体" w:hAnsi="宋体"/>
                <w:bCs/>
                <w:lang w:bidi="ar"/>
              </w:rPr>
              <w:t>11</w:t>
            </w:r>
          </w:p>
        </w:tc>
        <w:tc>
          <w:tcPr>
            <w:tcW w:w="882" w:type="dxa"/>
            <w:tcBorders>
              <w:top w:val="single" w:color="auto" w:sz="6" w:space="0"/>
              <w:left w:val="single" w:color="auto" w:sz="6" w:space="0"/>
              <w:bottom w:val="single" w:color="auto" w:sz="6" w:space="0"/>
              <w:right w:val="single" w:color="auto" w:sz="6" w:space="0"/>
            </w:tcBorders>
            <w:noWrap w:val="0"/>
            <w:vAlign w:val="center"/>
          </w:tcPr>
          <w:p w14:paraId="62AA685E">
            <w:pPr>
              <w:widowControl/>
              <w:jc w:val="center"/>
              <w:rPr>
                <w:rFonts w:ascii="宋体" w:hAnsi="宋体"/>
                <w:bCs/>
              </w:rPr>
            </w:pPr>
            <w:r>
              <w:rPr>
                <w:rFonts w:ascii="宋体" w:hAnsi="宋体"/>
                <w:bCs/>
                <w:lang w:bidi="ar"/>
              </w:rPr>
              <w:t>10</w:t>
            </w:r>
          </w:p>
        </w:tc>
        <w:tc>
          <w:tcPr>
            <w:tcW w:w="854" w:type="dxa"/>
            <w:tcBorders>
              <w:top w:val="single" w:color="auto" w:sz="6" w:space="0"/>
              <w:left w:val="single" w:color="auto" w:sz="6" w:space="0"/>
              <w:bottom w:val="single" w:color="auto" w:sz="6" w:space="0"/>
              <w:right w:val="single" w:color="auto" w:sz="6" w:space="0"/>
            </w:tcBorders>
            <w:noWrap w:val="0"/>
            <w:vAlign w:val="center"/>
          </w:tcPr>
          <w:p w14:paraId="0129F045">
            <w:pPr>
              <w:widowControl/>
              <w:jc w:val="center"/>
              <w:rPr>
                <w:rFonts w:ascii="宋体" w:hAnsi="宋体"/>
                <w:bCs/>
              </w:rPr>
            </w:pPr>
            <w:r>
              <w:rPr>
                <w:rFonts w:ascii="宋体" w:hAnsi="宋体"/>
                <w:bCs/>
                <w:lang w:bidi="ar"/>
              </w:rPr>
              <w:t>8</w:t>
            </w:r>
          </w:p>
        </w:tc>
        <w:tc>
          <w:tcPr>
            <w:tcW w:w="900" w:type="dxa"/>
            <w:tcBorders>
              <w:top w:val="single" w:color="auto" w:sz="6" w:space="0"/>
              <w:left w:val="single" w:color="auto" w:sz="6" w:space="0"/>
              <w:bottom w:val="single" w:color="auto" w:sz="6" w:space="0"/>
              <w:right w:val="single" w:color="auto" w:sz="12" w:space="0"/>
            </w:tcBorders>
            <w:noWrap w:val="0"/>
            <w:vAlign w:val="center"/>
          </w:tcPr>
          <w:p w14:paraId="314EDCA5">
            <w:pPr>
              <w:widowControl/>
              <w:jc w:val="center"/>
              <w:rPr>
                <w:rFonts w:ascii="宋体" w:hAnsi="宋体"/>
                <w:bCs/>
              </w:rPr>
            </w:pPr>
            <w:r>
              <w:rPr>
                <w:rFonts w:ascii="宋体" w:hAnsi="宋体"/>
                <w:bCs/>
                <w:lang w:bidi="ar"/>
              </w:rPr>
              <w:t>8</w:t>
            </w:r>
          </w:p>
        </w:tc>
      </w:tr>
      <w:tr w14:paraId="77C6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429" w:type="dxa"/>
            <w:gridSpan w:val="2"/>
            <w:vMerge w:val="continue"/>
            <w:tcBorders>
              <w:top w:val="single" w:color="auto" w:sz="6" w:space="0"/>
              <w:left w:val="single" w:color="auto" w:sz="12" w:space="0"/>
              <w:bottom w:val="single" w:color="auto" w:sz="6" w:space="0"/>
              <w:right w:val="single" w:color="auto" w:sz="6" w:space="0"/>
            </w:tcBorders>
            <w:noWrap w:val="0"/>
            <w:vAlign w:val="center"/>
          </w:tcPr>
          <w:p w14:paraId="01BF5F34">
            <w:pPr>
              <w:jc w:val="center"/>
              <w:rPr>
                <w:rFonts w:ascii="宋体" w:hAnsi="宋体"/>
                <w:sz w:val="20"/>
                <w:szCs w:val="20"/>
              </w:rPr>
            </w:pPr>
          </w:p>
        </w:tc>
        <w:tc>
          <w:tcPr>
            <w:tcW w:w="1838" w:type="dxa"/>
            <w:tcBorders>
              <w:top w:val="single" w:color="auto" w:sz="6" w:space="0"/>
              <w:left w:val="single" w:color="auto" w:sz="6" w:space="0"/>
              <w:bottom w:val="single" w:color="auto" w:sz="6" w:space="0"/>
              <w:right w:val="single" w:color="auto" w:sz="6" w:space="0"/>
            </w:tcBorders>
            <w:noWrap w:val="0"/>
            <w:vAlign w:val="center"/>
          </w:tcPr>
          <w:p w14:paraId="30980937">
            <w:pPr>
              <w:widowControl/>
              <w:jc w:val="center"/>
              <w:rPr>
                <w:rFonts w:ascii="宋体" w:hAnsi="宋体"/>
                <w:bCs/>
              </w:rPr>
            </w:pPr>
            <w:r>
              <w:rPr>
                <w:rFonts w:ascii="宋体" w:hAnsi="宋体"/>
                <w:bCs/>
                <w:lang w:bidi="ar"/>
              </w:rPr>
              <w:t>次干路、支路</w:t>
            </w:r>
          </w:p>
        </w:tc>
        <w:tc>
          <w:tcPr>
            <w:tcW w:w="1048" w:type="dxa"/>
            <w:tcBorders>
              <w:top w:val="single" w:color="auto" w:sz="6" w:space="0"/>
              <w:left w:val="single" w:color="auto" w:sz="6" w:space="0"/>
              <w:bottom w:val="single" w:color="auto" w:sz="6" w:space="0"/>
              <w:right w:val="single" w:color="auto" w:sz="6" w:space="0"/>
            </w:tcBorders>
            <w:noWrap w:val="0"/>
            <w:vAlign w:val="center"/>
          </w:tcPr>
          <w:p w14:paraId="04B81C69">
            <w:pPr>
              <w:widowControl/>
              <w:jc w:val="center"/>
              <w:rPr>
                <w:rFonts w:ascii="宋体" w:hAnsi="宋体"/>
                <w:bCs/>
              </w:rPr>
            </w:pPr>
            <w:r>
              <w:rPr>
                <w:rFonts w:ascii="宋体" w:hAnsi="宋体"/>
                <w:bCs/>
                <w:lang w:bidi="ar"/>
              </w:rPr>
              <w:t>12</w:t>
            </w:r>
          </w:p>
        </w:tc>
        <w:tc>
          <w:tcPr>
            <w:tcW w:w="938" w:type="dxa"/>
            <w:tcBorders>
              <w:top w:val="single" w:color="auto" w:sz="6" w:space="0"/>
              <w:left w:val="single" w:color="auto" w:sz="6" w:space="0"/>
              <w:bottom w:val="single" w:color="auto" w:sz="6" w:space="0"/>
              <w:right w:val="single" w:color="auto" w:sz="6" w:space="0"/>
            </w:tcBorders>
            <w:noWrap w:val="0"/>
            <w:vAlign w:val="center"/>
          </w:tcPr>
          <w:p w14:paraId="6462B2C7">
            <w:pPr>
              <w:widowControl/>
              <w:jc w:val="center"/>
              <w:rPr>
                <w:rFonts w:ascii="宋体" w:hAnsi="宋体"/>
                <w:bCs/>
              </w:rPr>
            </w:pPr>
            <w:r>
              <w:rPr>
                <w:rFonts w:ascii="宋体" w:hAnsi="宋体"/>
                <w:bCs/>
                <w:lang w:bidi="ar"/>
              </w:rPr>
              <w:t>11</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7CC1FF26">
            <w:pPr>
              <w:widowControl/>
              <w:jc w:val="center"/>
              <w:rPr>
                <w:rFonts w:ascii="宋体" w:hAnsi="宋体"/>
                <w:bCs/>
              </w:rPr>
            </w:pPr>
            <w:r>
              <w:rPr>
                <w:rFonts w:ascii="宋体" w:hAnsi="宋体"/>
                <w:bCs/>
                <w:lang w:bidi="ar"/>
              </w:rPr>
              <w:t>10</w:t>
            </w:r>
          </w:p>
        </w:tc>
        <w:tc>
          <w:tcPr>
            <w:tcW w:w="882" w:type="dxa"/>
            <w:tcBorders>
              <w:top w:val="single" w:color="auto" w:sz="6" w:space="0"/>
              <w:left w:val="single" w:color="auto" w:sz="6" w:space="0"/>
              <w:bottom w:val="single" w:color="auto" w:sz="6" w:space="0"/>
              <w:right w:val="single" w:color="auto" w:sz="6" w:space="0"/>
            </w:tcBorders>
            <w:noWrap w:val="0"/>
            <w:vAlign w:val="center"/>
          </w:tcPr>
          <w:p w14:paraId="135095A1">
            <w:pPr>
              <w:widowControl/>
              <w:jc w:val="center"/>
              <w:rPr>
                <w:rFonts w:ascii="宋体" w:hAnsi="宋体"/>
                <w:bCs/>
              </w:rPr>
            </w:pPr>
            <w:r>
              <w:rPr>
                <w:rFonts w:ascii="宋体" w:hAnsi="宋体"/>
                <w:bCs/>
                <w:lang w:bidi="ar"/>
              </w:rPr>
              <w:t>8</w:t>
            </w:r>
          </w:p>
        </w:tc>
        <w:tc>
          <w:tcPr>
            <w:tcW w:w="854" w:type="dxa"/>
            <w:tcBorders>
              <w:top w:val="single" w:color="auto" w:sz="6" w:space="0"/>
              <w:left w:val="single" w:color="auto" w:sz="6" w:space="0"/>
              <w:bottom w:val="single" w:color="auto" w:sz="6" w:space="0"/>
              <w:right w:val="single" w:color="auto" w:sz="6" w:space="0"/>
            </w:tcBorders>
            <w:noWrap w:val="0"/>
            <w:vAlign w:val="center"/>
          </w:tcPr>
          <w:p w14:paraId="4A75D7D8">
            <w:pPr>
              <w:widowControl/>
              <w:jc w:val="center"/>
              <w:rPr>
                <w:rFonts w:ascii="宋体" w:hAnsi="宋体"/>
                <w:bCs/>
              </w:rPr>
            </w:pPr>
            <w:r>
              <w:rPr>
                <w:rFonts w:ascii="宋体" w:hAnsi="宋体"/>
                <w:bCs/>
                <w:lang w:bidi="ar"/>
              </w:rPr>
              <w:t>6</w:t>
            </w:r>
          </w:p>
        </w:tc>
        <w:tc>
          <w:tcPr>
            <w:tcW w:w="900" w:type="dxa"/>
            <w:tcBorders>
              <w:top w:val="single" w:color="auto" w:sz="6" w:space="0"/>
              <w:left w:val="single" w:color="auto" w:sz="6" w:space="0"/>
              <w:bottom w:val="single" w:color="auto" w:sz="6" w:space="0"/>
              <w:right w:val="single" w:color="auto" w:sz="12" w:space="0"/>
            </w:tcBorders>
            <w:noWrap w:val="0"/>
            <w:vAlign w:val="center"/>
          </w:tcPr>
          <w:p w14:paraId="43D457EE">
            <w:pPr>
              <w:widowControl/>
              <w:jc w:val="center"/>
              <w:rPr>
                <w:rFonts w:ascii="宋体" w:hAnsi="宋体"/>
                <w:bCs/>
              </w:rPr>
            </w:pPr>
            <w:r>
              <w:rPr>
                <w:rFonts w:ascii="宋体" w:hAnsi="宋体"/>
                <w:bCs/>
                <w:lang w:bidi="ar"/>
              </w:rPr>
              <w:t>6</w:t>
            </w:r>
          </w:p>
        </w:tc>
      </w:tr>
      <w:tr w14:paraId="3826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14:paraId="21367A16">
            <w:pPr>
              <w:widowControl/>
              <w:jc w:val="center"/>
              <w:rPr>
                <w:rFonts w:ascii="宋体" w:hAnsi="宋体"/>
                <w:bCs/>
              </w:rPr>
            </w:pPr>
            <w:r>
              <w:rPr>
                <w:rFonts w:ascii="宋体" w:hAnsi="宋体"/>
                <w:bCs/>
                <w:lang w:bidi="ar"/>
              </w:rPr>
              <w:t>架空通信线和通信发射塔</w:t>
            </w:r>
          </w:p>
        </w:tc>
        <w:tc>
          <w:tcPr>
            <w:tcW w:w="1048" w:type="dxa"/>
            <w:tcBorders>
              <w:top w:val="single" w:color="auto" w:sz="6" w:space="0"/>
              <w:left w:val="single" w:color="auto" w:sz="6" w:space="0"/>
              <w:bottom w:val="single" w:color="auto" w:sz="6" w:space="0"/>
              <w:right w:val="single" w:color="auto" w:sz="6" w:space="0"/>
            </w:tcBorders>
            <w:noWrap w:val="0"/>
            <w:vAlign w:val="center"/>
          </w:tcPr>
          <w:p w14:paraId="0EE41C3B">
            <w:pPr>
              <w:widowControl/>
              <w:jc w:val="center"/>
              <w:rPr>
                <w:rFonts w:ascii="宋体" w:hAnsi="宋体"/>
                <w:bCs/>
              </w:rPr>
            </w:pPr>
            <w:r>
              <w:rPr>
                <w:rFonts w:ascii="宋体" w:hAnsi="宋体"/>
                <w:bCs/>
                <w:lang w:bidi="ar"/>
              </w:rPr>
              <w:t>1.5倍杆（塔)高</w:t>
            </w:r>
          </w:p>
        </w:tc>
        <w:tc>
          <w:tcPr>
            <w:tcW w:w="2729" w:type="dxa"/>
            <w:gridSpan w:val="3"/>
            <w:tcBorders>
              <w:top w:val="single" w:color="auto" w:sz="6" w:space="0"/>
              <w:left w:val="single" w:color="auto" w:sz="6" w:space="0"/>
              <w:bottom w:val="single" w:color="auto" w:sz="6" w:space="0"/>
              <w:right w:val="single" w:color="auto" w:sz="6" w:space="0"/>
            </w:tcBorders>
            <w:noWrap w:val="0"/>
            <w:vAlign w:val="center"/>
          </w:tcPr>
          <w:p w14:paraId="04D5C93E">
            <w:pPr>
              <w:widowControl/>
              <w:jc w:val="center"/>
              <w:rPr>
                <w:rFonts w:ascii="宋体" w:hAnsi="宋体"/>
                <w:bCs/>
              </w:rPr>
            </w:pPr>
            <w:r>
              <w:rPr>
                <w:rFonts w:ascii="宋体" w:hAnsi="宋体"/>
                <w:bCs/>
                <w:lang w:bidi="ar"/>
              </w:rPr>
              <w:t>1倍杆（塔)高</w:t>
            </w:r>
          </w:p>
        </w:tc>
        <w:tc>
          <w:tcPr>
            <w:tcW w:w="1754" w:type="dxa"/>
            <w:gridSpan w:val="2"/>
            <w:tcBorders>
              <w:top w:val="single" w:color="auto" w:sz="6" w:space="0"/>
              <w:left w:val="single" w:color="auto" w:sz="6" w:space="0"/>
              <w:bottom w:val="single" w:color="auto" w:sz="6" w:space="0"/>
              <w:right w:val="single" w:color="auto" w:sz="12" w:space="0"/>
            </w:tcBorders>
            <w:noWrap w:val="0"/>
            <w:vAlign w:val="center"/>
          </w:tcPr>
          <w:p w14:paraId="2C47BCC3">
            <w:pPr>
              <w:widowControl/>
              <w:jc w:val="center"/>
              <w:rPr>
                <w:rFonts w:ascii="宋体" w:hAnsi="宋体"/>
                <w:bCs/>
              </w:rPr>
            </w:pPr>
            <w:r>
              <w:rPr>
                <w:rFonts w:ascii="宋体" w:hAnsi="宋体"/>
                <w:bCs/>
                <w:lang w:bidi="ar"/>
              </w:rPr>
              <w:t>0.75倍杆(塔)高</w:t>
            </w:r>
          </w:p>
        </w:tc>
      </w:tr>
      <w:tr w14:paraId="0FD0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167" w:type="dxa"/>
            <w:vMerge w:val="restart"/>
            <w:tcBorders>
              <w:top w:val="single" w:color="auto" w:sz="6" w:space="0"/>
              <w:left w:val="single" w:color="auto" w:sz="12" w:space="0"/>
              <w:bottom w:val="single" w:color="auto" w:sz="12" w:space="0"/>
              <w:right w:val="single" w:color="auto" w:sz="6" w:space="0"/>
            </w:tcBorders>
            <w:noWrap w:val="0"/>
            <w:vAlign w:val="center"/>
          </w:tcPr>
          <w:p w14:paraId="0A6FD362">
            <w:pPr>
              <w:widowControl/>
              <w:jc w:val="center"/>
              <w:rPr>
                <w:rFonts w:ascii="宋体" w:hAnsi="宋体"/>
                <w:bCs/>
              </w:rPr>
            </w:pPr>
            <w:r>
              <w:rPr>
                <w:rFonts w:ascii="宋体" w:hAnsi="宋体"/>
                <w:bCs/>
                <w:lang w:bidi="ar"/>
              </w:rPr>
              <w:t>架空电力线路</w:t>
            </w:r>
          </w:p>
        </w:tc>
        <w:tc>
          <w:tcPr>
            <w:tcW w:w="2100" w:type="dxa"/>
            <w:gridSpan w:val="2"/>
            <w:tcBorders>
              <w:top w:val="single" w:color="auto" w:sz="6" w:space="0"/>
              <w:left w:val="single" w:color="auto" w:sz="6" w:space="0"/>
              <w:bottom w:val="single" w:color="auto" w:sz="6" w:space="0"/>
              <w:right w:val="single" w:color="auto" w:sz="6" w:space="0"/>
            </w:tcBorders>
            <w:noWrap w:val="0"/>
            <w:vAlign w:val="center"/>
          </w:tcPr>
          <w:p w14:paraId="2A8354CE">
            <w:pPr>
              <w:widowControl/>
              <w:jc w:val="center"/>
              <w:rPr>
                <w:rFonts w:ascii="宋体" w:hAnsi="宋体"/>
                <w:bCs/>
              </w:rPr>
            </w:pPr>
            <w:r>
              <w:rPr>
                <w:rFonts w:ascii="宋体" w:hAnsi="宋体"/>
                <w:bCs/>
                <w:lang w:bidi="ar"/>
              </w:rPr>
              <w:t>无绝缘层</w:t>
            </w:r>
          </w:p>
        </w:tc>
        <w:tc>
          <w:tcPr>
            <w:tcW w:w="1048" w:type="dxa"/>
            <w:vMerge w:val="restart"/>
            <w:tcBorders>
              <w:top w:val="single" w:color="auto" w:sz="6" w:space="0"/>
              <w:left w:val="single" w:color="auto" w:sz="6" w:space="0"/>
              <w:bottom w:val="single" w:color="auto" w:sz="12" w:space="0"/>
              <w:right w:val="single" w:color="auto" w:sz="6" w:space="0"/>
            </w:tcBorders>
            <w:noWrap w:val="0"/>
            <w:vAlign w:val="center"/>
          </w:tcPr>
          <w:p w14:paraId="70165B10">
            <w:pPr>
              <w:widowControl/>
              <w:jc w:val="center"/>
              <w:rPr>
                <w:rFonts w:ascii="宋体" w:hAnsi="宋体"/>
                <w:bCs/>
              </w:rPr>
            </w:pPr>
            <w:r>
              <w:rPr>
                <w:rFonts w:ascii="宋体" w:hAnsi="宋体"/>
                <w:bCs/>
                <w:lang w:bidi="ar"/>
              </w:rPr>
              <w:t>1.5倍杆(塔)高</w:t>
            </w:r>
          </w:p>
        </w:tc>
        <w:tc>
          <w:tcPr>
            <w:tcW w:w="2729" w:type="dxa"/>
            <w:gridSpan w:val="3"/>
            <w:tcBorders>
              <w:top w:val="single" w:color="auto" w:sz="6" w:space="0"/>
              <w:left w:val="single" w:color="auto" w:sz="6" w:space="0"/>
              <w:bottom w:val="single" w:color="auto" w:sz="6" w:space="0"/>
              <w:right w:val="single" w:color="auto" w:sz="6" w:space="0"/>
            </w:tcBorders>
            <w:noWrap w:val="0"/>
            <w:vAlign w:val="center"/>
          </w:tcPr>
          <w:p w14:paraId="5D11498B">
            <w:pPr>
              <w:widowControl/>
              <w:jc w:val="center"/>
              <w:rPr>
                <w:rFonts w:ascii="宋体" w:hAnsi="宋体"/>
                <w:bCs/>
              </w:rPr>
            </w:pPr>
            <w:r>
              <w:rPr>
                <w:rFonts w:ascii="宋体" w:hAnsi="宋体"/>
                <w:bCs/>
                <w:lang w:bidi="ar"/>
              </w:rPr>
              <w:t>1.5倍杆(塔)高</w:t>
            </w:r>
          </w:p>
        </w:tc>
        <w:tc>
          <w:tcPr>
            <w:tcW w:w="1754" w:type="dxa"/>
            <w:gridSpan w:val="2"/>
            <w:tcBorders>
              <w:top w:val="single" w:color="auto" w:sz="6" w:space="0"/>
              <w:left w:val="single" w:color="auto" w:sz="6" w:space="0"/>
              <w:bottom w:val="single" w:color="auto" w:sz="6" w:space="0"/>
              <w:right w:val="single" w:color="auto" w:sz="12" w:space="0"/>
            </w:tcBorders>
            <w:noWrap w:val="0"/>
            <w:vAlign w:val="center"/>
          </w:tcPr>
          <w:p w14:paraId="21B381A1">
            <w:pPr>
              <w:widowControl/>
              <w:jc w:val="center"/>
              <w:rPr>
                <w:rFonts w:ascii="宋体" w:hAnsi="宋体"/>
                <w:bCs/>
              </w:rPr>
            </w:pPr>
            <w:r>
              <w:rPr>
                <w:rFonts w:ascii="宋体" w:hAnsi="宋体"/>
                <w:bCs/>
                <w:lang w:bidi="ar"/>
              </w:rPr>
              <w:t>1倍杆(塔)高</w:t>
            </w:r>
          </w:p>
        </w:tc>
      </w:tr>
      <w:tr w14:paraId="198C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1167" w:type="dxa"/>
            <w:vMerge w:val="continue"/>
            <w:tcBorders>
              <w:top w:val="single" w:color="auto" w:sz="6" w:space="0"/>
              <w:left w:val="single" w:color="auto" w:sz="12" w:space="0"/>
              <w:bottom w:val="single" w:color="auto" w:sz="12" w:space="0"/>
              <w:right w:val="single" w:color="auto" w:sz="6" w:space="0"/>
            </w:tcBorders>
            <w:noWrap w:val="0"/>
            <w:vAlign w:val="center"/>
          </w:tcPr>
          <w:p w14:paraId="51DB2A68">
            <w:pPr>
              <w:jc w:val="center"/>
              <w:rPr>
                <w:rFonts w:ascii="宋体" w:hAnsi="宋体"/>
                <w:sz w:val="20"/>
                <w:szCs w:val="20"/>
              </w:rPr>
            </w:pPr>
          </w:p>
        </w:tc>
        <w:tc>
          <w:tcPr>
            <w:tcW w:w="2100" w:type="dxa"/>
            <w:gridSpan w:val="2"/>
            <w:tcBorders>
              <w:top w:val="single" w:color="auto" w:sz="6" w:space="0"/>
              <w:left w:val="single" w:color="auto" w:sz="6" w:space="0"/>
              <w:bottom w:val="single" w:color="auto" w:sz="12" w:space="0"/>
              <w:right w:val="single" w:color="auto" w:sz="6" w:space="0"/>
            </w:tcBorders>
            <w:noWrap w:val="0"/>
            <w:vAlign w:val="center"/>
          </w:tcPr>
          <w:p w14:paraId="3D04AA8D">
            <w:pPr>
              <w:widowControl/>
              <w:jc w:val="center"/>
              <w:rPr>
                <w:rFonts w:ascii="宋体" w:hAnsi="宋体"/>
                <w:bCs/>
              </w:rPr>
            </w:pPr>
            <w:r>
              <w:rPr>
                <w:rFonts w:ascii="宋体" w:hAnsi="宋体"/>
                <w:bCs/>
                <w:lang w:bidi="ar"/>
              </w:rPr>
              <w:t>有绝缘层</w:t>
            </w:r>
          </w:p>
        </w:tc>
        <w:tc>
          <w:tcPr>
            <w:tcW w:w="1048" w:type="dxa"/>
            <w:vMerge w:val="continue"/>
            <w:tcBorders>
              <w:top w:val="single" w:color="auto" w:sz="6" w:space="0"/>
              <w:left w:val="single" w:color="auto" w:sz="6" w:space="0"/>
              <w:bottom w:val="single" w:color="auto" w:sz="12" w:space="0"/>
              <w:right w:val="single" w:color="auto" w:sz="6" w:space="0"/>
            </w:tcBorders>
            <w:noWrap w:val="0"/>
            <w:vAlign w:val="center"/>
          </w:tcPr>
          <w:p w14:paraId="44E84AB5">
            <w:pPr>
              <w:jc w:val="center"/>
              <w:rPr>
                <w:rFonts w:ascii="宋体" w:hAnsi="宋体"/>
                <w:sz w:val="20"/>
                <w:szCs w:val="20"/>
              </w:rPr>
            </w:pPr>
          </w:p>
        </w:tc>
        <w:tc>
          <w:tcPr>
            <w:tcW w:w="2729" w:type="dxa"/>
            <w:gridSpan w:val="3"/>
            <w:tcBorders>
              <w:top w:val="single" w:color="auto" w:sz="6" w:space="0"/>
              <w:left w:val="single" w:color="auto" w:sz="6" w:space="0"/>
              <w:bottom w:val="single" w:color="auto" w:sz="12" w:space="0"/>
              <w:right w:val="single" w:color="auto" w:sz="6" w:space="0"/>
            </w:tcBorders>
            <w:noWrap w:val="0"/>
            <w:vAlign w:val="center"/>
          </w:tcPr>
          <w:p w14:paraId="51975989">
            <w:pPr>
              <w:widowControl/>
              <w:jc w:val="center"/>
              <w:rPr>
                <w:rFonts w:ascii="宋体" w:hAnsi="宋体"/>
                <w:bCs/>
              </w:rPr>
            </w:pPr>
            <w:r>
              <w:rPr>
                <w:rFonts w:ascii="宋体" w:hAnsi="宋体"/>
                <w:bCs/>
                <w:lang w:bidi="ar"/>
              </w:rPr>
              <w:t>1倍杆(塔)高</w:t>
            </w:r>
          </w:p>
        </w:tc>
        <w:tc>
          <w:tcPr>
            <w:tcW w:w="1754" w:type="dxa"/>
            <w:gridSpan w:val="2"/>
            <w:tcBorders>
              <w:top w:val="single" w:color="auto" w:sz="6" w:space="0"/>
              <w:left w:val="single" w:color="auto" w:sz="6" w:space="0"/>
              <w:bottom w:val="single" w:color="auto" w:sz="12" w:space="0"/>
              <w:right w:val="single" w:color="auto" w:sz="12" w:space="0"/>
            </w:tcBorders>
            <w:noWrap w:val="0"/>
            <w:vAlign w:val="center"/>
          </w:tcPr>
          <w:p w14:paraId="3139FC1C">
            <w:pPr>
              <w:widowControl/>
              <w:jc w:val="center"/>
              <w:rPr>
                <w:rFonts w:ascii="宋体" w:hAnsi="宋体"/>
                <w:bCs/>
              </w:rPr>
            </w:pPr>
            <w:r>
              <w:rPr>
                <w:rFonts w:ascii="宋体" w:hAnsi="宋体"/>
                <w:bCs/>
                <w:lang w:bidi="ar"/>
              </w:rPr>
              <w:t>0.75倍杆(塔)高</w:t>
            </w:r>
          </w:p>
        </w:tc>
      </w:tr>
    </w:tbl>
    <w:p w14:paraId="77036F32">
      <w:pPr>
        <w:snapToGrid w:val="0"/>
        <w:spacing w:before="120" w:beforeLines="50" w:line="334" w:lineRule="exact"/>
        <w:ind w:left="1178" w:leftChars="228" w:hanging="699" w:hangingChars="290"/>
        <w:rPr>
          <w:rFonts w:ascii="宋体" w:hAnsi="宋体"/>
          <w:bCs/>
          <w:sz w:val="24"/>
          <w:lang w:bidi="ar"/>
        </w:rPr>
      </w:pPr>
      <w:r>
        <w:rPr>
          <w:rFonts w:ascii="宋体" w:hAnsi="宋体"/>
          <w:b/>
          <w:bCs/>
          <w:sz w:val="24"/>
          <w:lang w:bidi="ar"/>
        </w:rPr>
        <w:t>注：</w:t>
      </w:r>
      <w:r>
        <w:rPr>
          <w:rFonts w:ascii="宋体" w:hAnsi="宋体"/>
          <w:bCs/>
          <w:sz w:val="24"/>
          <w:lang w:bidi="ar"/>
        </w:rPr>
        <w:t>1.室外变、配电站指电力系统电压为35 kV～500kV，且每台变压器容量在10MV•A以上的室外变、配电站，以及工业企业的变压器总油量大于5t的室外降压变电站。其他规格的室外变、配电站或变压器按丙类物品生产厂房确定。</w:t>
      </w:r>
    </w:p>
    <w:p w14:paraId="1B0C1343">
      <w:pPr>
        <w:snapToGrid w:val="0"/>
        <w:spacing w:line="334" w:lineRule="exact"/>
        <w:ind w:left="1138" w:leftChars="456" w:hanging="180" w:hangingChars="75"/>
        <w:rPr>
          <w:rFonts w:ascii="宋体" w:hAnsi="宋体"/>
          <w:bCs/>
          <w:sz w:val="24"/>
          <w:lang w:bidi="ar"/>
        </w:rPr>
      </w:pPr>
      <w:r>
        <w:rPr>
          <w:rFonts w:ascii="宋体" w:hAnsi="宋体"/>
          <w:bCs/>
          <w:sz w:val="24"/>
          <w:lang w:bidi="ar"/>
        </w:rPr>
        <w:t>2.表中道路系指机动车道路。油罐、加油机和油罐通气管管口与郊区公路的安全间距按城市道路确定，高速公路、一级和二级公路按城市快速路、主干路确定；三级和四级公路按城市次干路、支路确定。</w:t>
      </w:r>
    </w:p>
    <w:p w14:paraId="7F11C71C">
      <w:pPr>
        <w:snapToGrid w:val="0"/>
        <w:spacing w:line="334" w:lineRule="exact"/>
        <w:ind w:left="1138" w:leftChars="456" w:hanging="180" w:hangingChars="75"/>
        <w:rPr>
          <w:rFonts w:ascii="宋体" w:hAnsi="宋体"/>
          <w:bCs/>
          <w:sz w:val="24"/>
          <w:lang w:bidi="ar"/>
        </w:rPr>
      </w:pPr>
      <w:r>
        <w:rPr>
          <w:rFonts w:ascii="宋体" w:hAnsi="宋体"/>
          <w:bCs/>
          <w:sz w:val="24"/>
          <w:lang w:bidi="ar"/>
        </w:rPr>
        <w:t>3.液化石油气罐与站外一、二、三类保护物地下室的出入口、门窗的距离，应按本表一、二、三类保护物的安全间距增加50%。</w:t>
      </w:r>
    </w:p>
    <w:p w14:paraId="6F480C28">
      <w:pPr>
        <w:snapToGrid w:val="0"/>
        <w:spacing w:line="334" w:lineRule="exact"/>
        <w:ind w:left="1138" w:leftChars="456" w:hanging="180" w:hangingChars="75"/>
        <w:rPr>
          <w:rFonts w:ascii="宋体" w:hAnsi="宋体"/>
          <w:bCs/>
          <w:sz w:val="24"/>
          <w:lang w:bidi="ar"/>
        </w:rPr>
      </w:pPr>
      <w:r>
        <w:rPr>
          <w:rFonts w:ascii="宋体" w:hAnsi="宋体"/>
          <w:bCs/>
          <w:sz w:val="24"/>
          <w:lang w:bidi="ar"/>
        </w:rPr>
        <w:t>4.一、二级耐火等级民用建筑物面向加气站一侧的墙为无门窗洞口实体墙时，液化石油气储罐与该民用建筑物的距离不应低于本表规定的安全间距的70%。</w:t>
      </w:r>
    </w:p>
    <w:p w14:paraId="269CC9BF">
      <w:pPr>
        <w:snapToGrid w:val="0"/>
        <w:spacing w:line="334" w:lineRule="exact"/>
        <w:ind w:left="1138" w:leftChars="456" w:hanging="180" w:hangingChars="75"/>
        <w:rPr>
          <w:rFonts w:ascii="宋体" w:hAnsi="宋体"/>
          <w:bCs/>
          <w:sz w:val="24"/>
          <w:lang w:bidi="ar"/>
        </w:rPr>
      </w:pPr>
      <w:r>
        <w:rPr>
          <w:rFonts w:ascii="宋体" w:hAnsi="宋体"/>
          <w:bCs/>
          <w:sz w:val="24"/>
          <w:lang w:bidi="ar"/>
        </w:rPr>
        <w:t>5.容量小于或等于10m</w:t>
      </w:r>
      <w:r>
        <w:rPr>
          <w:rFonts w:ascii="宋体" w:hAnsi="宋体"/>
          <w:bCs/>
          <w:sz w:val="24"/>
          <w:vertAlign w:val="superscript"/>
          <w:lang w:bidi="ar"/>
        </w:rPr>
        <w:t>3</w:t>
      </w:r>
      <w:r>
        <w:rPr>
          <w:rFonts w:ascii="宋体" w:hAnsi="宋体"/>
          <w:bCs/>
          <w:sz w:val="24"/>
          <w:lang w:bidi="ar"/>
        </w:rPr>
        <w:t>的地上LPG储罐整体装配式的加气站，其罐与站外建（构）筑物的距离，不应低于本表三级站的地上罐安全间距的80%。</w:t>
      </w:r>
    </w:p>
    <w:p w14:paraId="5DA908B7">
      <w:pPr>
        <w:snapToGrid w:val="0"/>
        <w:spacing w:line="334" w:lineRule="exact"/>
        <w:ind w:left="1138" w:leftChars="456" w:hanging="180" w:hangingChars="75"/>
        <w:rPr>
          <w:rFonts w:ascii="宋体" w:hAnsi="宋体"/>
          <w:bCs/>
          <w:sz w:val="24"/>
          <w:lang w:bidi="ar"/>
        </w:rPr>
      </w:pPr>
      <w:r>
        <w:rPr>
          <w:rFonts w:ascii="宋体" w:hAnsi="宋体"/>
          <w:bCs/>
          <w:sz w:val="24"/>
          <w:lang w:bidi="ar"/>
        </w:rPr>
        <w:t>6.LPG储罐与站外建筑面积不超过200m</w:t>
      </w:r>
      <w:r>
        <w:rPr>
          <w:rFonts w:ascii="宋体" w:hAnsi="宋体"/>
          <w:bCs/>
          <w:sz w:val="24"/>
          <w:vertAlign w:val="superscript"/>
          <w:lang w:bidi="ar"/>
        </w:rPr>
        <w:t>2</w:t>
      </w:r>
      <w:r>
        <w:rPr>
          <w:rFonts w:ascii="宋体" w:hAnsi="宋体"/>
          <w:bCs/>
          <w:sz w:val="24"/>
          <w:lang w:bidi="ar"/>
        </w:rPr>
        <w:t>的独立民用建筑物的距离，不应低于本表三类保护物安全间距的80%，并不应小于三级站的安全间距。</w:t>
      </w:r>
    </w:p>
    <w:p w14:paraId="560F7A2C">
      <w:pPr>
        <w:rPr>
          <w:rFonts w:eastAsia="黑体"/>
          <w:sz w:val="28"/>
          <w:szCs w:val="28"/>
          <w:lang w:bidi="ar"/>
        </w:rPr>
      </w:pPr>
      <w:r>
        <w:rPr>
          <w:rFonts w:ascii="宋体" w:hAnsi="宋体"/>
          <w:bCs/>
          <w:sz w:val="24"/>
          <w:lang w:bidi="ar"/>
        </w:rPr>
        <w:br w:type="page"/>
      </w:r>
      <w:r>
        <w:rPr>
          <w:rFonts w:eastAsia="黑体"/>
          <w:sz w:val="28"/>
          <w:szCs w:val="28"/>
          <w:lang w:bidi="ar"/>
        </w:rPr>
        <w:t>附表8—6</w:t>
      </w:r>
    </w:p>
    <w:p w14:paraId="1D5463A9">
      <w:pPr>
        <w:autoSpaceDE w:val="0"/>
        <w:autoSpaceDN w:val="0"/>
        <w:adjustRightInd w:val="0"/>
        <w:spacing w:before="120" w:beforeLines="50" w:line="500" w:lineRule="exact"/>
        <w:jc w:val="center"/>
        <w:rPr>
          <w:rFonts w:eastAsia="黑体"/>
          <w:sz w:val="28"/>
          <w:szCs w:val="28"/>
          <w:lang w:bidi="ar"/>
        </w:rPr>
      </w:pPr>
      <w:r>
        <w:rPr>
          <w:rFonts w:eastAsia="黑体"/>
          <w:sz w:val="28"/>
          <w:szCs w:val="28"/>
          <w:lang w:bidi="ar"/>
        </w:rPr>
        <w:t>液化石油气卸车点、加气机、放散管管口与站外建（构）筑物的</w:t>
      </w:r>
    </w:p>
    <w:p w14:paraId="603E2971">
      <w:pPr>
        <w:autoSpaceDE w:val="0"/>
        <w:autoSpaceDN w:val="0"/>
        <w:adjustRightInd w:val="0"/>
        <w:spacing w:after="120" w:afterLines="50" w:line="500" w:lineRule="exact"/>
        <w:jc w:val="center"/>
        <w:rPr>
          <w:rFonts w:eastAsia="黑体"/>
          <w:sz w:val="28"/>
          <w:szCs w:val="28"/>
          <w:lang w:bidi="ar"/>
        </w:rPr>
      </w:pPr>
      <w:r>
        <w:rPr>
          <w:rFonts w:eastAsia="黑体"/>
          <w:sz w:val="28"/>
          <w:szCs w:val="28"/>
          <w:lang w:bidi="ar"/>
        </w:rPr>
        <w:t>安全间距（单位：m）</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86"/>
        <w:gridCol w:w="2376"/>
        <w:gridCol w:w="1829"/>
        <w:gridCol w:w="1644"/>
        <w:gridCol w:w="1084"/>
      </w:tblGrid>
      <w:tr w14:paraId="6144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99" w:type="dxa"/>
            <w:gridSpan w:val="3"/>
            <w:vMerge w:val="restart"/>
            <w:tcBorders>
              <w:top w:val="single" w:color="auto" w:sz="12" w:space="0"/>
              <w:left w:val="single" w:color="auto" w:sz="12" w:space="0"/>
              <w:bottom w:val="single" w:color="auto" w:sz="6" w:space="0"/>
              <w:right w:val="single" w:color="auto" w:sz="6" w:space="0"/>
            </w:tcBorders>
            <w:noWrap w:val="0"/>
            <w:vAlign w:val="center"/>
          </w:tcPr>
          <w:p w14:paraId="130F2C2D">
            <w:pPr>
              <w:widowControl/>
              <w:jc w:val="center"/>
              <w:rPr>
                <w:rFonts w:eastAsia="黑体"/>
                <w:bCs/>
                <w:sz w:val="20"/>
                <w:szCs w:val="20"/>
              </w:rPr>
            </w:pPr>
            <w:r>
              <w:rPr>
                <w:rFonts w:eastAsia="黑体"/>
                <w:bCs/>
                <w:sz w:val="20"/>
                <w:szCs w:val="20"/>
                <w:lang w:bidi="ar"/>
              </w:rPr>
              <w:t>站外建（构）筑物</w:t>
            </w:r>
          </w:p>
        </w:tc>
        <w:tc>
          <w:tcPr>
            <w:tcW w:w="4557" w:type="dxa"/>
            <w:gridSpan w:val="3"/>
            <w:tcBorders>
              <w:top w:val="single" w:color="auto" w:sz="12" w:space="0"/>
              <w:left w:val="single" w:color="auto" w:sz="6" w:space="0"/>
              <w:bottom w:val="single" w:color="auto" w:sz="6" w:space="0"/>
              <w:right w:val="single" w:color="auto" w:sz="12" w:space="0"/>
            </w:tcBorders>
            <w:noWrap w:val="0"/>
            <w:vAlign w:val="center"/>
          </w:tcPr>
          <w:p w14:paraId="7BC83201">
            <w:pPr>
              <w:widowControl/>
              <w:jc w:val="center"/>
              <w:rPr>
                <w:rFonts w:eastAsia="黑体"/>
                <w:bCs/>
                <w:sz w:val="20"/>
                <w:szCs w:val="20"/>
              </w:rPr>
            </w:pPr>
            <w:r>
              <w:rPr>
                <w:rFonts w:eastAsia="黑体"/>
                <w:bCs/>
                <w:sz w:val="20"/>
                <w:szCs w:val="20"/>
                <w:lang w:bidi="ar"/>
              </w:rPr>
              <w:t>站内液化石油气设备</w:t>
            </w:r>
          </w:p>
        </w:tc>
      </w:tr>
      <w:tr w14:paraId="43624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99" w:type="dxa"/>
            <w:gridSpan w:val="3"/>
            <w:vMerge w:val="continue"/>
            <w:tcBorders>
              <w:top w:val="single" w:color="auto" w:sz="12" w:space="0"/>
              <w:left w:val="single" w:color="auto" w:sz="12" w:space="0"/>
              <w:bottom w:val="single" w:color="auto" w:sz="6" w:space="0"/>
              <w:right w:val="single" w:color="auto" w:sz="6" w:space="0"/>
            </w:tcBorders>
            <w:noWrap w:val="0"/>
            <w:vAlign w:val="center"/>
          </w:tcPr>
          <w:p w14:paraId="67C7EF4F">
            <w:pPr>
              <w:rPr>
                <w:rFonts w:eastAsia="黑体"/>
                <w:sz w:val="20"/>
                <w:szCs w:val="20"/>
              </w:rPr>
            </w:pPr>
          </w:p>
        </w:tc>
        <w:tc>
          <w:tcPr>
            <w:tcW w:w="1829" w:type="dxa"/>
            <w:tcBorders>
              <w:top w:val="single" w:color="auto" w:sz="6" w:space="0"/>
              <w:left w:val="single" w:color="auto" w:sz="6" w:space="0"/>
              <w:bottom w:val="single" w:color="auto" w:sz="6" w:space="0"/>
              <w:right w:val="single" w:color="auto" w:sz="6" w:space="0"/>
            </w:tcBorders>
            <w:noWrap w:val="0"/>
            <w:vAlign w:val="center"/>
          </w:tcPr>
          <w:p w14:paraId="7380ABF7">
            <w:pPr>
              <w:widowControl/>
              <w:jc w:val="center"/>
              <w:rPr>
                <w:rFonts w:eastAsia="黑体"/>
                <w:bCs/>
                <w:sz w:val="20"/>
                <w:szCs w:val="20"/>
              </w:rPr>
            </w:pPr>
            <w:r>
              <w:rPr>
                <w:rFonts w:eastAsia="黑体"/>
                <w:bCs/>
                <w:sz w:val="20"/>
                <w:szCs w:val="20"/>
                <w:lang w:bidi="ar"/>
              </w:rPr>
              <w:t>液化石油气卸车点</w:t>
            </w:r>
          </w:p>
        </w:tc>
        <w:tc>
          <w:tcPr>
            <w:tcW w:w="1644" w:type="dxa"/>
            <w:tcBorders>
              <w:top w:val="single" w:color="auto" w:sz="6" w:space="0"/>
              <w:left w:val="single" w:color="auto" w:sz="6" w:space="0"/>
              <w:bottom w:val="single" w:color="auto" w:sz="6" w:space="0"/>
              <w:right w:val="single" w:color="auto" w:sz="6" w:space="0"/>
            </w:tcBorders>
            <w:noWrap w:val="0"/>
            <w:vAlign w:val="center"/>
          </w:tcPr>
          <w:p w14:paraId="4808EE5B">
            <w:pPr>
              <w:widowControl/>
              <w:jc w:val="center"/>
              <w:rPr>
                <w:rFonts w:eastAsia="黑体"/>
                <w:bCs/>
                <w:sz w:val="20"/>
                <w:szCs w:val="20"/>
              </w:rPr>
            </w:pPr>
            <w:r>
              <w:rPr>
                <w:rFonts w:eastAsia="黑体"/>
                <w:bCs/>
                <w:sz w:val="20"/>
                <w:szCs w:val="20"/>
                <w:lang w:bidi="ar"/>
              </w:rPr>
              <w:t>放散管管口</w:t>
            </w:r>
          </w:p>
        </w:tc>
        <w:tc>
          <w:tcPr>
            <w:tcW w:w="1084" w:type="dxa"/>
            <w:tcBorders>
              <w:top w:val="single" w:color="auto" w:sz="6" w:space="0"/>
              <w:left w:val="single" w:color="auto" w:sz="6" w:space="0"/>
              <w:bottom w:val="single" w:color="auto" w:sz="6" w:space="0"/>
              <w:right w:val="single" w:color="auto" w:sz="12" w:space="0"/>
            </w:tcBorders>
            <w:noWrap w:val="0"/>
            <w:vAlign w:val="center"/>
          </w:tcPr>
          <w:p w14:paraId="58512911">
            <w:pPr>
              <w:widowControl/>
              <w:jc w:val="center"/>
              <w:rPr>
                <w:rFonts w:eastAsia="黑体"/>
                <w:bCs/>
                <w:sz w:val="20"/>
                <w:szCs w:val="20"/>
              </w:rPr>
            </w:pPr>
            <w:r>
              <w:rPr>
                <w:rFonts w:eastAsia="黑体"/>
                <w:bCs/>
                <w:sz w:val="20"/>
                <w:szCs w:val="20"/>
                <w:lang w:bidi="ar"/>
              </w:rPr>
              <w:t>加气机</w:t>
            </w:r>
          </w:p>
        </w:tc>
      </w:tr>
      <w:tr w14:paraId="741C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14:paraId="51BFF9C7">
            <w:pPr>
              <w:widowControl/>
              <w:jc w:val="center"/>
              <w:rPr>
                <w:rFonts w:ascii="宋体" w:hAnsi="宋体"/>
                <w:bCs/>
                <w:sz w:val="20"/>
                <w:szCs w:val="20"/>
              </w:rPr>
            </w:pPr>
            <w:r>
              <w:rPr>
                <w:rFonts w:ascii="宋体" w:hAnsi="宋体"/>
                <w:bCs/>
                <w:sz w:val="20"/>
                <w:szCs w:val="20"/>
                <w:lang w:bidi="ar"/>
              </w:rPr>
              <w:t>重要公共建筑物</w:t>
            </w:r>
          </w:p>
        </w:tc>
        <w:tc>
          <w:tcPr>
            <w:tcW w:w="1829" w:type="dxa"/>
            <w:tcBorders>
              <w:top w:val="single" w:color="auto" w:sz="6" w:space="0"/>
              <w:left w:val="single" w:color="auto" w:sz="6" w:space="0"/>
              <w:bottom w:val="single" w:color="auto" w:sz="6" w:space="0"/>
              <w:right w:val="single" w:color="auto" w:sz="6" w:space="0"/>
            </w:tcBorders>
            <w:noWrap w:val="0"/>
            <w:vAlign w:val="center"/>
          </w:tcPr>
          <w:p w14:paraId="2F4FF08A">
            <w:pPr>
              <w:widowControl/>
              <w:jc w:val="center"/>
              <w:rPr>
                <w:rFonts w:ascii="宋体" w:hAnsi="宋体"/>
                <w:bCs/>
                <w:sz w:val="20"/>
                <w:szCs w:val="20"/>
              </w:rPr>
            </w:pPr>
            <w:r>
              <w:rPr>
                <w:rFonts w:ascii="宋体" w:hAnsi="宋体"/>
                <w:bCs/>
                <w:sz w:val="20"/>
                <w:szCs w:val="20"/>
                <w:lang w:bidi="ar"/>
              </w:rPr>
              <w:t>100</w:t>
            </w:r>
          </w:p>
        </w:tc>
        <w:tc>
          <w:tcPr>
            <w:tcW w:w="1644" w:type="dxa"/>
            <w:tcBorders>
              <w:top w:val="single" w:color="auto" w:sz="6" w:space="0"/>
              <w:left w:val="single" w:color="auto" w:sz="6" w:space="0"/>
              <w:bottom w:val="single" w:color="auto" w:sz="6" w:space="0"/>
              <w:right w:val="single" w:color="auto" w:sz="6" w:space="0"/>
            </w:tcBorders>
            <w:noWrap w:val="0"/>
            <w:vAlign w:val="center"/>
          </w:tcPr>
          <w:p w14:paraId="669EFB25">
            <w:pPr>
              <w:widowControl/>
              <w:jc w:val="center"/>
              <w:rPr>
                <w:rFonts w:ascii="宋体" w:hAnsi="宋体"/>
                <w:bCs/>
                <w:sz w:val="20"/>
                <w:szCs w:val="20"/>
              </w:rPr>
            </w:pPr>
            <w:r>
              <w:rPr>
                <w:rFonts w:ascii="宋体" w:hAnsi="宋体"/>
                <w:bCs/>
                <w:sz w:val="20"/>
                <w:szCs w:val="20"/>
                <w:lang w:bidi="ar"/>
              </w:rPr>
              <w:t>100</w:t>
            </w:r>
          </w:p>
        </w:tc>
        <w:tc>
          <w:tcPr>
            <w:tcW w:w="1084" w:type="dxa"/>
            <w:tcBorders>
              <w:top w:val="single" w:color="auto" w:sz="6" w:space="0"/>
              <w:left w:val="single" w:color="auto" w:sz="6" w:space="0"/>
              <w:bottom w:val="single" w:color="auto" w:sz="6" w:space="0"/>
              <w:right w:val="single" w:color="auto" w:sz="12" w:space="0"/>
            </w:tcBorders>
            <w:noWrap w:val="0"/>
            <w:vAlign w:val="center"/>
          </w:tcPr>
          <w:p w14:paraId="27D82E57">
            <w:pPr>
              <w:widowControl/>
              <w:jc w:val="center"/>
              <w:rPr>
                <w:rFonts w:ascii="宋体" w:hAnsi="宋体"/>
                <w:bCs/>
                <w:sz w:val="20"/>
                <w:szCs w:val="20"/>
              </w:rPr>
            </w:pPr>
            <w:r>
              <w:rPr>
                <w:rFonts w:ascii="宋体" w:hAnsi="宋体"/>
                <w:bCs/>
                <w:sz w:val="20"/>
                <w:szCs w:val="20"/>
                <w:lang w:bidi="ar"/>
              </w:rPr>
              <w:t>100</w:t>
            </w:r>
          </w:p>
        </w:tc>
      </w:tr>
      <w:tr w14:paraId="014E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14:paraId="58EA98DF">
            <w:pPr>
              <w:widowControl/>
              <w:jc w:val="center"/>
              <w:rPr>
                <w:rFonts w:ascii="宋体" w:hAnsi="宋体"/>
                <w:bCs/>
                <w:sz w:val="20"/>
                <w:szCs w:val="20"/>
              </w:rPr>
            </w:pPr>
            <w:r>
              <w:rPr>
                <w:rFonts w:ascii="宋体" w:hAnsi="宋体"/>
                <w:bCs/>
                <w:sz w:val="20"/>
                <w:szCs w:val="20"/>
                <w:lang w:bidi="ar"/>
              </w:rPr>
              <w:t>明火地点或散发火花地点</w:t>
            </w:r>
          </w:p>
        </w:tc>
        <w:tc>
          <w:tcPr>
            <w:tcW w:w="1829" w:type="dxa"/>
            <w:vMerge w:val="restart"/>
            <w:tcBorders>
              <w:top w:val="single" w:color="auto" w:sz="6" w:space="0"/>
              <w:left w:val="single" w:color="auto" w:sz="6" w:space="0"/>
              <w:bottom w:val="single" w:color="auto" w:sz="6" w:space="0"/>
              <w:right w:val="single" w:color="auto" w:sz="6" w:space="0"/>
            </w:tcBorders>
            <w:noWrap w:val="0"/>
            <w:vAlign w:val="center"/>
          </w:tcPr>
          <w:p w14:paraId="57E5F9E1">
            <w:pPr>
              <w:widowControl/>
              <w:jc w:val="center"/>
              <w:rPr>
                <w:rFonts w:ascii="宋体" w:hAnsi="宋体"/>
                <w:bCs/>
                <w:sz w:val="20"/>
                <w:szCs w:val="20"/>
              </w:rPr>
            </w:pPr>
            <w:r>
              <w:rPr>
                <w:rFonts w:ascii="宋体" w:hAnsi="宋体"/>
                <w:bCs/>
                <w:sz w:val="20"/>
                <w:szCs w:val="20"/>
                <w:lang w:bidi="ar"/>
              </w:rPr>
              <w:t>25</w:t>
            </w:r>
          </w:p>
        </w:tc>
        <w:tc>
          <w:tcPr>
            <w:tcW w:w="1644" w:type="dxa"/>
            <w:vMerge w:val="restart"/>
            <w:tcBorders>
              <w:top w:val="single" w:color="auto" w:sz="6" w:space="0"/>
              <w:left w:val="single" w:color="auto" w:sz="6" w:space="0"/>
              <w:bottom w:val="single" w:color="auto" w:sz="6" w:space="0"/>
              <w:right w:val="single" w:color="auto" w:sz="6" w:space="0"/>
            </w:tcBorders>
            <w:noWrap w:val="0"/>
            <w:vAlign w:val="center"/>
          </w:tcPr>
          <w:p w14:paraId="061329E9">
            <w:pPr>
              <w:widowControl/>
              <w:jc w:val="center"/>
              <w:rPr>
                <w:rFonts w:ascii="宋体" w:hAnsi="宋体"/>
                <w:bCs/>
                <w:sz w:val="20"/>
                <w:szCs w:val="20"/>
              </w:rPr>
            </w:pPr>
            <w:r>
              <w:rPr>
                <w:rFonts w:ascii="宋体" w:hAnsi="宋体"/>
                <w:bCs/>
                <w:sz w:val="20"/>
                <w:szCs w:val="20"/>
                <w:lang w:bidi="ar"/>
              </w:rPr>
              <w:t>18</w:t>
            </w:r>
          </w:p>
        </w:tc>
        <w:tc>
          <w:tcPr>
            <w:tcW w:w="1084" w:type="dxa"/>
            <w:vMerge w:val="restart"/>
            <w:tcBorders>
              <w:top w:val="single" w:color="auto" w:sz="6" w:space="0"/>
              <w:left w:val="single" w:color="auto" w:sz="6" w:space="0"/>
              <w:bottom w:val="single" w:color="auto" w:sz="6" w:space="0"/>
              <w:right w:val="single" w:color="auto" w:sz="12" w:space="0"/>
            </w:tcBorders>
            <w:noWrap w:val="0"/>
            <w:vAlign w:val="center"/>
          </w:tcPr>
          <w:p w14:paraId="4CB7F9DD">
            <w:pPr>
              <w:widowControl/>
              <w:jc w:val="center"/>
              <w:rPr>
                <w:rFonts w:ascii="宋体" w:hAnsi="宋体"/>
                <w:bCs/>
                <w:sz w:val="20"/>
                <w:szCs w:val="20"/>
              </w:rPr>
            </w:pPr>
            <w:r>
              <w:rPr>
                <w:rFonts w:ascii="宋体" w:hAnsi="宋体"/>
                <w:bCs/>
                <w:sz w:val="20"/>
                <w:szCs w:val="20"/>
                <w:lang w:bidi="ar"/>
              </w:rPr>
              <w:t>18</w:t>
            </w:r>
          </w:p>
        </w:tc>
      </w:tr>
      <w:tr w14:paraId="541F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3" w:type="dxa"/>
            <w:gridSpan w:val="2"/>
            <w:vMerge w:val="restart"/>
            <w:tcBorders>
              <w:top w:val="single" w:color="auto" w:sz="6" w:space="0"/>
              <w:left w:val="single" w:color="auto" w:sz="12" w:space="0"/>
              <w:bottom w:val="single" w:color="auto" w:sz="6" w:space="0"/>
              <w:right w:val="single" w:color="auto" w:sz="6" w:space="0"/>
            </w:tcBorders>
            <w:noWrap w:val="0"/>
            <w:vAlign w:val="center"/>
          </w:tcPr>
          <w:p w14:paraId="493B7EE2">
            <w:pPr>
              <w:widowControl/>
              <w:jc w:val="center"/>
              <w:rPr>
                <w:rFonts w:ascii="宋体" w:hAnsi="宋体"/>
                <w:bCs/>
                <w:sz w:val="20"/>
                <w:szCs w:val="20"/>
              </w:rPr>
            </w:pPr>
            <w:r>
              <w:rPr>
                <w:rFonts w:ascii="宋体" w:hAnsi="宋体"/>
                <w:bCs/>
                <w:sz w:val="20"/>
                <w:szCs w:val="20"/>
                <w:lang w:bidi="ar"/>
              </w:rPr>
              <w:t>民用建筑物</w:t>
            </w:r>
          </w:p>
          <w:p w14:paraId="01FCF938">
            <w:pPr>
              <w:widowControl/>
              <w:jc w:val="center"/>
              <w:rPr>
                <w:rFonts w:ascii="宋体" w:hAnsi="宋体"/>
                <w:bCs/>
                <w:sz w:val="20"/>
                <w:szCs w:val="20"/>
              </w:rPr>
            </w:pPr>
            <w:r>
              <w:rPr>
                <w:rFonts w:ascii="宋体" w:hAnsi="宋体"/>
                <w:bCs/>
                <w:sz w:val="20"/>
                <w:szCs w:val="20"/>
                <w:lang w:bidi="ar"/>
              </w:rPr>
              <w:t>保护类别</w:t>
            </w:r>
          </w:p>
        </w:tc>
        <w:tc>
          <w:tcPr>
            <w:tcW w:w="2376" w:type="dxa"/>
            <w:tcBorders>
              <w:top w:val="single" w:color="auto" w:sz="6" w:space="0"/>
              <w:left w:val="single" w:color="auto" w:sz="6" w:space="0"/>
              <w:bottom w:val="single" w:color="auto" w:sz="6" w:space="0"/>
              <w:right w:val="single" w:color="auto" w:sz="6" w:space="0"/>
            </w:tcBorders>
            <w:noWrap w:val="0"/>
            <w:vAlign w:val="center"/>
          </w:tcPr>
          <w:p w14:paraId="24897E7B">
            <w:pPr>
              <w:widowControl/>
              <w:jc w:val="center"/>
              <w:rPr>
                <w:rFonts w:ascii="宋体" w:hAnsi="宋体"/>
                <w:bCs/>
                <w:sz w:val="20"/>
                <w:szCs w:val="20"/>
              </w:rPr>
            </w:pPr>
            <w:r>
              <w:rPr>
                <w:rFonts w:ascii="宋体" w:hAnsi="宋体"/>
                <w:bCs/>
                <w:sz w:val="20"/>
                <w:szCs w:val="20"/>
                <w:lang w:bidi="ar"/>
              </w:rPr>
              <w:t>一类保护物</w:t>
            </w:r>
          </w:p>
        </w:tc>
        <w:tc>
          <w:tcPr>
            <w:tcW w:w="1829" w:type="dxa"/>
            <w:vMerge w:val="continue"/>
            <w:tcBorders>
              <w:top w:val="single" w:color="auto" w:sz="6" w:space="0"/>
              <w:left w:val="single" w:color="auto" w:sz="6" w:space="0"/>
              <w:bottom w:val="single" w:color="auto" w:sz="6" w:space="0"/>
              <w:right w:val="single" w:color="auto" w:sz="6" w:space="0"/>
            </w:tcBorders>
            <w:noWrap w:val="0"/>
            <w:vAlign w:val="center"/>
          </w:tcPr>
          <w:p w14:paraId="40940B78">
            <w:pPr>
              <w:rPr>
                <w:rFonts w:ascii="宋体" w:hAnsi="宋体"/>
                <w:sz w:val="20"/>
                <w:szCs w:val="20"/>
              </w:rPr>
            </w:pPr>
          </w:p>
        </w:tc>
        <w:tc>
          <w:tcPr>
            <w:tcW w:w="1644" w:type="dxa"/>
            <w:vMerge w:val="continue"/>
            <w:tcBorders>
              <w:top w:val="single" w:color="auto" w:sz="6" w:space="0"/>
              <w:left w:val="single" w:color="auto" w:sz="6" w:space="0"/>
              <w:bottom w:val="single" w:color="auto" w:sz="6" w:space="0"/>
              <w:right w:val="single" w:color="auto" w:sz="6" w:space="0"/>
            </w:tcBorders>
            <w:noWrap w:val="0"/>
            <w:vAlign w:val="center"/>
          </w:tcPr>
          <w:p w14:paraId="0D4E3FB3">
            <w:pPr>
              <w:rPr>
                <w:rFonts w:ascii="宋体" w:hAnsi="宋体"/>
                <w:sz w:val="20"/>
                <w:szCs w:val="20"/>
              </w:rPr>
            </w:pPr>
          </w:p>
        </w:tc>
        <w:tc>
          <w:tcPr>
            <w:tcW w:w="1084" w:type="dxa"/>
            <w:vMerge w:val="continue"/>
            <w:tcBorders>
              <w:top w:val="single" w:color="auto" w:sz="6" w:space="0"/>
              <w:left w:val="single" w:color="auto" w:sz="6" w:space="0"/>
              <w:bottom w:val="single" w:color="auto" w:sz="6" w:space="0"/>
              <w:right w:val="single" w:color="auto" w:sz="12" w:space="0"/>
            </w:tcBorders>
            <w:noWrap w:val="0"/>
            <w:vAlign w:val="center"/>
          </w:tcPr>
          <w:p w14:paraId="41979E15">
            <w:pPr>
              <w:rPr>
                <w:rFonts w:ascii="宋体" w:hAnsi="宋体"/>
                <w:sz w:val="20"/>
                <w:szCs w:val="20"/>
              </w:rPr>
            </w:pPr>
          </w:p>
        </w:tc>
      </w:tr>
      <w:tr w14:paraId="0476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3" w:type="dxa"/>
            <w:gridSpan w:val="2"/>
            <w:vMerge w:val="continue"/>
            <w:tcBorders>
              <w:top w:val="single" w:color="auto" w:sz="6" w:space="0"/>
              <w:left w:val="single" w:color="auto" w:sz="12" w:space="0"/>
              <w:bottom w:val="single" w:color="auto" w:sz="6" w:space="0"/>
              <w:right w:val="single" w:color="auto" w:sz="6" w:space="0"/>
            </w:tcBorders>
            <w:noWrap w:val="0"/>
            <w:vAlign w:val="center"/>
          </w:tcPr>
          <w:p w14:paraId="7CE00341">
            <w:pPr>
              <w:rPr>
                <w:rFonts w:ascii="宋体" w:hAnsi="宋体"/>
                <w:sz w:val="20"/>
                <w:szCs w:val="20"/>
              </w:rPr>
            </w:pPr>
          </w:p>
        </w:tc>
        <w:tc>
          <w:tcPr>
            <w:tcW w:w="2376" w:type="dxa"/>
            <w:tcBorders>
              <w:top w:val="single" w:color="auto" w:sz="6" w:space="0"/>
              <w:left w:val="single" w:color="auto" w:sz="6" w:space="0"/>
              <w:bottom w:val="single" w:color="auto" w:sz="6" w:space="0"/>
              <w:right w:val="single" w:color="auto" w:sz="6" w:space="0"/>
            </w:tcBorders>
            <w:noWrap w:val="0"/>
            <w:vAlign w:val="center"/>
          </w:tcPr>
          <w:p w14:paraId="7FA7939C">
            <w:pPr>
              <w:widowControl/>
              <w:jc w:val="center"/>
              <w:rPr>
                <w:rFonts w:ascii="宋体" w:hAnsi="宋体"/>
                <w:bCs/>
                <w:sz w:val="20"/>
                <w:szCs w:val="20"/>
              </w:rPr>
            </w:pPr>
            <w:r>
              <w:rPr>
                <w:rFonts w:ascii="宋体" w:hAnsi="宋体"/>
                <w:bCs/>
                <w:sz w:val="20"/>
                <w:szCs w:val="20"/>
                <w:lang w:bidi="ar"/>
              </w:rPr>
              <w:t>二类保护物</w:t>
            </w:r>
          </w:p>
        </w:tc>
        <w:tc>
          <w:tcPr>
            <w:tcW w:w="1829" w:type="dxa"/>
            <w:tcBorders>
              <w:top w:val="single" w:color="auto" w:sz="6" w:space="0"/>
              <w:left w:val="single" w:color="auto" w:sz="6" w:space="0"/>
              <w:bottom w:val="single" w:color="auto" w:sz="6" w:space="0"/>
              <w:right w:val="single" w:color="auto" w:sz="6" w:space="0"/>
            </w:tcBorders>
            <w:noWrap w:val="0"/>
            <w:vAlign w:val="center"/>
          </w:tcPr>
          <w:p w14:paraId="0E4123DE">
            <w:pPr>
              <w:widowControl/>
              <w:jc w:val="center"/>
              <w:rPr>
                <w:rFonts w:ascii="宋体" w:hAnsi="宋体"/>
                <w:bCs/>
                <w:sz w:val="20"/>
                <w:szCs w:val="20"/>
              </w:rPr>
            </w:pPr>
            <w:r>
              <w:rPr>
                <w:rFonts w:ascii="宋体" w:hAnsi="宋体"/>
                <w:bCs/>
                <w:sz w:val="20"/>
                <w:szCs w:val="20"/>
                <w:lang w:bidi="ar"/>
              </w:rPr>
              <w:t>16</w:t>
            </w:r>
          </w:p>
        </w:tc>
        <w:tc>
          <w:tcPr>
            <w:tcW w:w="1644" w:type="dxa"/>
            <w:tcBorders>
              <w:top w:val="single" w:color="auto" w:sz="6" w:space="0"/>
              <w:left w:val="single" w:color="auto" w:sz="6" w:space="0"/>
              <w:bottom w:val="single" w:color="auto" w:sz="6" w:space="0"/>
              <w:right w:val="single" w:color="auto" w:sz="6" w:space="0"/>
            </w:tcBorders>
            <w:noWrap w:val="0"/>
            <w:vAlign w:val="center"/>
          </w:tcPr>
          <w:p w14:paraId="6BEFFB9A">
            <w:pPr>
              <w:widowControl/>
              <w:jc w:val="center"/>
              <w:rPr>
                <w:rFonts w:ascii="宋体" w:hAnsi="宋体"/>
                <w:bCs/>
                <w:sz w:val="20"/>
                <w:szCs w:val="20"/>
              </w:rPr>
            </w:pPr>
            <w:r>
              <w:rPr>
                <w:rFonts w:ascii="宋体" w:hAnsi="宋体"/>
                <w:bCs/>
                <w:sz w:val="20"/>
                <w:szCs w:val="20"/>
                <w:lang w:bidi="ar"/>
              </w:rPr>
              <w:t>14</w:t>
            </w:r>
          </w:p>
        </w:tc>
        <w:tc>
          <w:tcPr>
            <w:tcW w:w="1084" w:type="dxa"/>
            <w:tcBorders>
              <w:top w:val="single" w:color="auto" w:sz="6" w:space="0"/>
              <w:left w:val="single" w:color="auto" w:sz="6" w:space="0"/>
              <w:bottom w:val="single" w:color="auto" w:sz="6" w:space="0"/>
              <w:right w:val="single" w:color="auto" w:sz="12" w:space="0"/>
            </w:tcBorders>
            <w:noWrap w:val="0"/>
            <w:vAlign w:val="center"/>
          </w:tcPr>
          <w:p w14:paraId="6E8A20A5">
            <w:pPr>
              <w:widowControl/>
              <w:jc w:val="center"/>
              <w:rPr>
                <w:rFonts w:ascii="宋体" w:hAnsi="宋体"/>
                <w:bCs/>
                <w:sz w:val="20"/>
                <w:szCs w:val="20"/>
              </w:rPr>
            </w:pPr>
            <w:r>
              <w:rPr>
                <w:rFonts w:ascii="宋体" w:hAnsi="宋体"/>
                <w:bCs/>
                <w:sz w:val="20"/>
                <w:szCs w:val="20"/>
                <w:lang w:bidi="ar"/>
              </w:rPr>
              <w:t>14</w:t>
            </w:r>
          </w:p>
        </w:tc>
      </w:tr>
      <w:tr w14:paraId="4E3A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3" w:type="dxa"/>
            <w:gridSpan w:val="2"/>
            <w:vMerge w:val="continue"/>
            <w:tcBorders>
              <w:top w:val="single" w:color="auto" w:sz="6" w:space="0"/>
              <w:left w:val="single" w:color="auto" w:sz="12" w:space="0"/>
              <w:bottom w:val="single" w:color="auto" w:sz="6" w:space="0"/>
              <w:right w:val="single" w:color="auto" w:sz="6" w:space="0"/>
            </w:tcBorders>
            <w:noWrap w:val="0"/>
            <w:vAlign w:val="center"/>
          </w:tcPr>
          <w:p w14:paraId="1477F641">
            <w:pPr>
              <w:rPr>
                <w:rFonts w:ascii="宋体" w:hAnsi="宋体"/>
                <w:sz w:val="20"/>
                <w:szCs w:val="20"/>
              </w:rPr>
            </w:pPr>
          </w:p>
        </w:tc>
        <w:tc>
          <w:tcPr>
            <w:tcW w:w="2376" w:type="dxa"/>
            <w:tcBorders>
              <w:top w:val="single" w:color="auto" w:sz="6" w:space="0"/>
              <w:left w:val="single" w:color="auto" w:sz="6" w:space="0"/>
              <w:bottom w:val="single" w:color="auto" w:sz="6" w:space="0"/>
              <w:right w:val="single" w:color="auto" w:sz="6" w:space="0"/>
            </w:tcBorders>
            <w:noWrap w:val="0"/>
            <w:vAlign w:val="center"/>
          </w:tcPr>
          <w:p w14:paraId="24F6A37C">
            <w:pPr>
              <w:widowControl/>
              <w:jc w:val="center"/>
              <w:rPr>
                <w:rFonts w:ascii="宋体" w:hAnsi="宋体"/>
                <w:bCs/>
                <w:sz w:val="20"/>
                <w:szCs w:val="20"/>
              </w:rPr>
            </w:pPr>
            <w:r>
              <w:rPr>
                <w:rFonts w:ascii="宋体" w:hAnsi="宋体"/>
                <w:bCs/>
                <w:sz w:val="20"/>
                <w:szCs w:val="20"/>
                <w:lang w:bidi="ar"/>
              </w:rPr>
              <w:t>三类保护物</w:t>
            </w:r>
          </w:p>
        </w:tc>
        <w:tc>
          <w:tcPr>
            <w:tcW w:w="1829" w:type="dxa"/>
            <w:tcBorders>
              <w:top w:val="single" w:color="auto" w:sz="6" w:space="0"/>
              <w:left w:val="single" w:color="auto" w:sz="6" w:space="0"/>
              <w:bottom w:val="single" w:color="auto" w:sz="6" w:space="0"/>
              <w:right w:val="single" w:color="auto" w:sz="6" w:space="0"/>
            </w:tcBorders>
            <w:noWrap w:val="0"/>
            <w:vAlign w:val="center"/>
          </w:tcPr>
          <w:p w14:paraId="0B5C0976">
            <w:pPr>
              <w:widowControl/>
              <w:jc w:val="center"/>
              <w:rPr>
                <w:rFonts w:ascii="宋体" w:hAnsi="宋体"/>
                <w:bCs/>
                <w:sz w:val="20"/>
                <w:szCs w:val="20"/>
              </w:rPr>
            </w:pPr>
            <w:r>
              <w:rPr>
                <w:rFonts w:ascii="宋体" w:hAnsi="宋体"/>
                <w:bCs/>
                <w:sz w:val="20"/>
                <w:szCs w:val="20"/>
                <w:lang w:bidi="ar"/>
              </w:rPr>
              <w:t>13</w:t>
            </w:r>
          </w:p>
        </w:tc>
        <w:tc>
          <w:tcPr>
            <w:tcW w:w="1644" w:type="dxa"/>
            <w:tcBorders>
              <w:top w:val="single" w:color="auto" w:sz="6" w:space="0"/>
              <w:left w:val="single" w:color="auto" w:sz="6" w:space="0"/>
              <w:bottom w:val="single" w:color="auto" w:sz="6" w:space="0"/>
              <w:right w:val="single" w:color="auto" w:sz="6" w:space="0"/>
            </w:tcBorders>
            <w:noWrap w:val="0"/>
            <w:vAlign w:val="center"/>
          </w:tcPr>
          <w:p w14:paraId="18B44BEE">
            <w:pPr>
              <w:widowControl/>
              <w:jc w:val="center"/>
              <w:rPr>
                <w:rFonts w:ascii="宋体" w:hAnsi="宋体"/>
                <w:bCs/>
                <w:sz w:val="20"/>
                <w:szCs w:val="20"/>
              </w:rPr>
            </w:pPr>
            <w:r>
              <w:rPr>
                <w:rFonts w:ascii="宋体" w:hAnsi="宋体"/>
                <w:bCs/>
                <w:sz w:val="20"/>
                <w:szCs w:val="20"/>
                <w:lang w:bidi="ar"/>
              </w:rPr>
              <w:t>11</w:t>
            </w:r>
          </w:p>
        </w:tc>
        <w:tc>
          <w:tcPr>
            <w:tcW w:w="1084" w:type="dxa"/>
            <w:tcBorders>
              <w:top w:val="single" w:color="auto" w:sz="6" w:space="0"/>
              <w:left w:val="single" w:color="auto" w:sz="6" w:space="0"/>
              <w:bottom w:val="single" w:color="auto" w:sz="6" w:space="0"/>
              <w:right w:val="single" w:color="auto" w:sz="12" w:space="0"/>
            </w:tcBorders>
            <w:noWrap w:val="0"/>
            <w:vAlign w:val="center"/>
          </w:tcPr>
          <w:p w14:paraId="31967710">
            <w:pPr>
              <w:widowControl/>
              <w:jc w:val="center"/>
              <w:rPr>
                <w:rFonts w:ascii="宋体" w:hAnsi="宋体"/>
                <w:bCs/>
                <w:sz w:val="20"/>
                <w:szCs w:val="20"/>
              </w:rPr>
            </w:pPr>
            <w:r>
              <w:rPr>
                <w:rFonts w:ascii="宋体" w:hAnsi="宋体"/>
                <w:bCs/>
                <w:sz w:val="20"/>
                <w:szCs w:val="20"/>
                <w:lang w:bidi="ar"/>
              </w:rPr>
              <w:t>11</w:t>
            </w:r>
          </w:p>
        </w:tc>
      </w:tr>
      <w:tr w14:paraId="2A8A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14:paraId="53BC8CE1">
            <w:pPr>
              <w:widowControl/>
              <w:rPr>
                <w:rFonts w:ascii="宋体" w:hAnsi="宋体"/>
                <w:bCs/>
                <w:sz w:val="20"/>
                <w:szCs w:val="20"/>
              </w:rPr>
            </w:pPr>
            <w:r>
              <w:rPr>
                <w:rFonts w:ascii="宋体" w:hAnsi="宋体"/>
                <w:bCs/>
                <w:sz w:val="20"/>
                <w:szCs w:val="20"/>
                <w:lang w:bidi="ar"/>
              </w:rPr>
              <w:t>甲、乙类物品生产厂房、 库房和甲、乙类液体储罐</w:t>
            </w:r>
          </w:p>
        </w:tc>
        <w:tc>
          <w:tcPr>
            <w:tcW w:w="1829" w:type="dxa"/>
            <w:tcBorders>
              <w:top w:val="single" w:color="auto" w:sz="6" w:space="0"/>
              <w:left w:val="single" w:color="auto" w:sz="6" w:space="0"/>
              <w:bottom w:val="single" w:color="auto" w:sz="6" w:space="0"/>
              <w:right w:val="single" w:color="auto" w:sz="6" w:space="0"/>
            </w:tcBorders>
            <w:noWrap w:val="0"/>
            <w:vAlign w:val="center"/>
          </w:tcPr>
          <w:p w14:paraId="66BAA75D">
            <w:pPr>
              <w:widowControl/>
              <w:jc w:val="center"/>
              <w:rPr>
                <w:rFonts w:ascii="宋体" w:hAnsi="宋体"/>
                <w:bCs/>
                <w:sz w:val="20"/>
                <w:szCs w:val="20"/>
              </w:rPr>
            </w:pPr>
            <w:r>
              <w:rPr>
                <w:rFonts w:ascii="宋体" w:hAnsi="宋体"/>
                <w:bCs/>
                <w:sz w:val="20"/>
                <w:szCs w:val="20"/>
                <w:lang w:bidi="ar"/>
              </w:rPr>
              <w:t>22</w:t>
            </w:r>
          </w:p>
        </w:tc>
        <w:tc>
          <w:tcPr>
            <w:tcW w:w="1644" w:type="dxa"/>
            <w:tcBorders>
              <w:top w:val="single" w:color="auto" w:sz="6" w:space="0"/>
              <w:left w:val="single" w:color="auto" w:sz="6" w:space="0"/>
              <w:bottom w:val="single" w:color="auto" w:sz="6" w:space="0"/>
              <w:right w:val="single" w:color="auto" w:sz="6" w:space="0"/>
            </w:tcBorders>
            <w:noWrap w:val="0"/>
            <w:vAlign w:val="center"/>
          </w:tcPr>
          <w:p w14:paraId="53AF7AB9">
            <w:pPr>
              <w:widowControl/>
              <w:jc w:val="center"/>
              <w:rPr>
                <w:rFonts w:ascii="宋体" w:hAnsi="宋体"/>
                <w:bCs/>
                <w:sz w:val="20"/>
                <w:szCs w:val="20"/>
              </w:rPr>
            </w:pPr>
            <w:r>
              <w:rPr>
                <w:rFonts w:ascii="宋体" w:hAnsi="宋体"/>
                <w:bCs/>
                <w:sz w:val="20"/>
                <w:szCs w:val="20"/>
                <w:lang w:bidi="ar"/>
              </w:rPr>
              <w:t>20</w:t>
            </w:r>
          </w:p>
        </w:tc>
        <w:tc>
          <w:tcPr>
            <w:tcW w:w="1084" w:type="dxa"/>
            <w:tcBorders>
              <w:top w:val="single" w:color="auto" w:sz="6" w:space="0"/>
              <w:left w:val="single" w:color="auto" w:sz="6" w:space="0"/>
              <w:bottom w:val="single" w:color="auto" w:sz="6" w:space="0"/>
              <w:right w:val="single" w:color="auto" w:sz="12" w:space="0"/>
            </w:tcBorders>
            <w:noWrap w:val="0"/>
            <w:vAlign w:val="center"/>
          </w:tcPr>
          <w:p w14:paraId="086989DF">
            <w:pPr>
              <w:widowControl/>
              <w:jc w:val="center"/>
              <w:rPr>
                <w:rFonts w:ascii="宋体" w:hAnsi="宋体"/>
                <w:bCs/>
                <w:sz w:val="20"/>
                <w:szCs w:val="20"/>
              </w:rPr>
            </w:pPr>
            <w:r>
              <w:rPr>
                <w:rFonts w:ascii="宋体" w:hAnsi="宋体"/>
                <w:bCs/>
                <w:sz w:val="20"/>
                <w:szCs w:val="20"/>
                <w:lang w:bidi="ar"/>
              </w:rPr>
              <w:t>20</w:t>
            </w:r>
          </w:p>
        </w:tc>
      </w:tr>
      <w:tr w14:paraId="304B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14:paraId="0770C4B4">
            <w:pPr>
              <w:widowControl/>
              <w:rPr>
                <w:rFonts w:ascii="宋体" w:hAnsi="宋体"/>
                <w:bCs/>
                <w:sz w:val="20"/>
                <w:szCs w:val="20"/>
              </w:rPr>
            </w:pPr>
            <w:r>
              <w:rPr>
                <w:rFonts w:ascii="宋体" w:hAnsi="宋体"/>
                <w:bCs/>
                <w:sz w:val="20"/>
                <w:szCs w:val="20"/>
                <w:lang w:bidi="ar"/>
              </w:rPr>
              <w:t>丙、丁、戊类物品生产厂房、库房和丙类液体储罐以及容积不大于50m</w:t>
            </w:r>
            <w:r>
              <w:rPr>
                <w:rFonts w:ascii="宋体" w:hAnsi="宋体"/>
                <w:bCs/>
                <w:sz w:val="20"/>
                <w:szCs w:val="20"/>
                <w:vertAlign w:val="superscript"/>
                <w:lang w:bidi="ar"/>
              </w:rPr>
              <w:t>3</w:t>
            </w:r>
            <w:r>
              <w:rPr>
                <w:rFonts w:ascii="宋体" w:hAnsi="宋体"/>
                <w:bCs/>
                <w:sz w:val="20"/>
                <w:szCs w:val="20"/>
                <w:lang w:bidi="ar"/>
              </w:rPr>
              <w:t>的埋地甲、乙类液体储罐</w:t>
            </w:r>
          </w:p>
        </w:tc>
        <w:tc>
          <w:tcPr>
            <w:tcW w:w="1829" w:type="dxa"/>
            <w:tcBorders>
              <w:top w:val="single" w:color="auto" w:sz="6" w:space="0"/>
              <w:left w:val="single" w:color="auto" w:sz="6" w:space="0"/>
              <w:bottom w:val="single" w:color="auto" w:sz="6" w:space="0"/>
              <w:right w:val="single" w:color="auto" w:sz="6" w:space="0"/>
            </w:tcBorders>
            <w:noWrap w:val="0"/>
            <w:vAlign w:val="center"/>
          </w:tcPr>
          <w:p w14:paraId="7C094FC0">
            <w:pPr>
              <w:widowControl/>
              <w:jc w:val="center"/>
              <w:rPr>
                <w:rFonts w:ascii="宋体" w:hAnsi="宋体"/>
                <w:bCs/>
                <w:sz w:val="20"/>
                <w:szCs w:val="20"/>
              </w:rPr>
            </w:pPr>
            <w:r>
              <w:rPr>
                <w:rFonts w:ascii="宋体" w:hAnsi="宋体"/>
                <w:bCs/>
                <w:sz w:val="20"/>
                <w:szCs w:val="20"/>
                <w:lang w:bidi="ar"/>
              </w:rPr>
              <w:t>16</w:t>
            </w:r>
          </w:p>
        </w:tc>
        <w:tc>
          <w:tcPr>
            <w:tcW w:w="1644" w:type="dxa"/>
            <w:tcBorders>
              <w:top w:val="single" w:color="auto" w:sz="6" w:space="0"/>
              <w:left w:val="single" w:color="auto" w:sz="6" w:space="0"/>
              <w:bottom w:val="single" w:color="auto" w:sz="6" w:space="0"/>
              <w:right w:val="single" w:color="auto" w:sz="6" w:space="0"/>
            </w:tcBorders>
            <w:noWrap w:val="0"/>
            <w:vAlign w:val="center"/>
          </w:tcPr>
          <w:p w14:paraId="565BEC06">
            <w:pPr>
              <w:widowControl/>
              <w:jc w:val="center"/>
              <w:rPr>
                <w:rFonts w:ascii="宋体" w:hAnsi="宋体"/>
                <w:bCs/>
                <w:sz w:val="20"/>
                <w:szCs w:val="20"/>
              </w:rPr>
            </w:pPr>
            <w:r>
              <w:rPr>
                <w:rFonts w:ascii="宋体" w:hAnsi="宋体"/>
                <w:bCs/>
                <w:sz w:val="20"/>
                <w:szCs w:val="20"/>
                <w:lang w:bidi="ar"/>
              </w:rPr>
              <w:t>14</w:t>
            </w:r>
          </w:p>
        </w:tc>
        <w:tc>
          <w:tcPr>
            <w:tcW w:w="1084" w:type="dxa"/>
            <w:tcBorders>
              <w:top w:val="single" w:color="auto" w:sz="6" w:space="0"/>
              <w:left w:val="single" w:color="auto" w:sz="6" w:space="0"/>
              <w:bottom w:val="single" w:color="auto" w:sz="6" w:space="0"/>
              <w:right w:val="single" w:color="auto" w:sz="12" w:space="0"/>
            </w:tcBorders>
            <w:noWrap w:val="0"/>
            <w:vAlign w:val="center"/>
          </w:tcPr>
          <w:p w14:paraId="0C082A87">
            <w:pPr>
              <w:widowControl/>
              <w:jc w:val="center"/>
              <w:rPr>
                <w:rFonts w:ascii="宋体" w:hAnsi="宋体"/>
                <w:bCs/>
                <w:sz w:val="20"/>
                <w:szCs w:val="20"/>
              </w:rPr>
            </w:pPr>
            <w:r>
              <w:rPr>
                <w:rFonts w:ascii="宋体" w:hAnsi="宋体"/>
                <w:bCs/>
                <w:sz w:val="20"/>
                <w:szCs w:val="20"/>
                <w:lang w:bidi="ar"/>
              </w:rPr>
              <w:t>14</w:t>
            </w:r>
          </w:p>
        </w:tc>
      </w:tr>
      <w:tr w14:paraId="7BB2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14:paraId="51C0059F">
            <w:pPr>
              <w:widowControl/>
              <w:jc w:val="center"/>
              <w:rPr>
                <w:rFonts w:ascii="宋体" w:hAnsi="宋体"/>
                <w:bCs/>
                <w:sz w:val="20"/>
                <w:szCs w:val="20"/>
              </w:rPr>
            </w:pPr>
            <w:r>
              <w:rPr>
                <w:rFonts w:ascii="宋体" w:hAnsi="宋体"/>
                <w:bCs/>
                <w:sz w:val="20"/>
                <w:szCs w:val="20"/>
                <w:lang w:bidi="ar"/>
              </w:rPr>
              <w:t>室外变配电站</w:t>
            </w:r>
          </w:p>
        </w:tc>
        <w:tc>
          <w:tcPr>
            <w:tcW w:w="1829" w:type="dxa"/>
            <w:tcBorders>
              <w:top w:val="single" w:color="auto" w:sz="6" w:space="0"/>
              <w:left w:val="single" w:color="auto" w:sz="6" w:space="0"/>
              <w:bottom w:val="single" w:color="auto" w:sz="6" w:space="0"/>
              <w:right w:val="single" w:color="auto" w:sz="6" w:space="0"/>
            </w:tcBorders>
            <w:noWrap w:val="0"/>
            <w:vAlign w:val="center"/>
          </w:tcPr>
          <w:p w14:paraId="3CBAC333">
            <w:pPr>
              <w:widowControl/>
              <w:jc w:val="center"/>
              <w:rPr>
                <w:rFonts w:ascii="宋体" w:hAnsi="宋体"/>
                <w:bCs/>
                <w:sz w:val="20"/>
                <w:szCs w:val="20"/>
              </w:rPr>
            </w:pPr>
            <w:r>
              <w:rPr>
                <w:rFonts w:ascii="宋体" w:hAnsi="宋体"/>
                <w:bCs/>
                <w:sz w:val="20"/>
                <w:szCs w:val="20"/>
                <w:lang w:bidi="ar"/>
              </w:rPr>
              <w:t>22</w:t>
            </w:r>
          </w:p>
        </w:tc>
        <w:tc>
          <w:tcPr>
            <w:tcW w:w="1644" w:type="dxa"/>
            <w:tcBorders>
              <w:top w:val="single" w:color="auto" w:sz="6" w:space="0"/>
              <w:left w:val="single" w:color="auto" w:sz="6" w:space="0"/>
              <w:bottom w:val="single" w:color="auto" w:sz="6" w:space="0"/>
              <w:right w:val="single" w:color="auto" w:sz="6" w:space="0"/>
            </w:tcBorders>
            <w:noWrap w:val="0"/>
            <w:vAlign w:val="center"/>
          </w:tcPr>
          <w:p w14:paraId="051C6AA7">
            <w:pPr>
              <w:widowControl/>
              <w:jc w:val="center"/>
              <w:rPr>
                <w:rFonts w:ascii="宋体" w:hAnsi="宋体"/>
                <w:bCs/>
                <w:sz w:val="20"/>
                <w:szCs w:val="20"/>
              </w:rPr>
            </w:pPr>
            <w:r>
              <w:rPr>
                <w:rFonts w:ascii="宋体" w:hAnsi="宋体"/>
                <w:bCs/>
                <w:sz w:val="20"/>
                <w:szCs w:val="20"/>
                <w:lang w:bidi="ar"/>
              </w:rPr>
              <w:t>20</w:t>
            </w:r>
          </w:p>
        </w:tc>
        <w:tc>
          <w:tcPr>
            <w:tcW w:w="1084" w:type="dxa"/>
            <w:tcBorders>
              <w:top w:val="single" w:color="auto" w:sz="6" w:space="0"/>
              <w:left w:val="single" w:color="auto" w:sz="6" w:space="0"/>
              <w:bottom w:val="single" w:color="auto" w:sz="6" w:space="0"/>
              <w:right w:val="single" w:color="auto" w:sz="12" w:space="0"/>
            </w:tcBorders>
            <w:noWrap w:val="0"/>
            <w:vAlign w:val="center"/>
          </w:tcPr>
          <w:p w14:paraId="0067AC7C">
            <w:pPr>
              <w:widowControl/>
              <w:jc w:val="center"/>
              <w:rPr>
                <w:rFonts w:ascii="宋体" w:hAnsi="宋体"/>
                <w:bCs/>
                <w:sz w:val="20"/>
                <w:szCs w:val="20"/>
              </w:rPr>
            </w:pPr>
            <w:r>
              <w:rPr>
                <w:rFonts w:ascii="宋体" w:hAnsi="宋体"/>
                <w:bCs/>
                <w:sz w:val="20"/>
                <w:szCs w:val="20"/>
                <w:lang w:bidi="ar"/>
              </w:rPr>
              <w:t>20</w:t>
            </w:r>
          </w:p>
        </w:tc>
      </w:tr>
      <w:tr w14:paraId="403C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14:paraId="515A9DB7">
            <w:pPr>
              <w:widowControl/>
              <w:jc w:val="center"/>
              <w:rPr>
                <w:rFonts w:ascii="宋体" w:hAnsi="宋体"/>
                <w:bCs/>
                <w:sz w:val="20"/>
                <w:szCs w:val="20"/>
              </w:rPr>
            </w:pPr>
            <w:r>
              <w:rPr>
                <w:rFonts w:ascii="宋体" w:hAnsi="宋体"/>
                <w:bCs/>
                <w:sz w:val="20"/>
                <w:szCs w:val="20"/>
                <w:lang w:bidi="ar"/>
              </w:rPr>
              <w:t>铁</w:t>
            </w:r>
            <w:r>
              <w:rPr>
                <w:rFonts w:hint="eastAsia" w:ascii="宋体" w:hAnsi="宋体"/>
                <w:bCs/>
                <w:sz w:val="20"/>
                <w:szCs w:val="20"/>
                <w:lang w:bidi="ar"/>
              </w:rPr>
              <w:t xml:space="preserve">  </w:t>
            </w:r>
            <w:r>
              <w:rPr>
                <w:rFonts w:ascii="宋体" w:hAnsi="宋体"/>
                <w:bCs/>
                <w:sz w:val="20"/>
                <w:szCs w:val="20"/>
                <w:lang w:bidi="ar"/>
              </w:rPr>
              <w:t>路</w:t>
            </w:r>
          </w:p>
        </w:tc>
        <w:tc>
          <w:tcPr>
            <w:tcW w:w="1829" w:type="dxa"/>
            <w:tcBorders>
              <w:top w:val="single" w:color="auto" w:sz="6" w:space="0"/>
              <w:left w:val="single" w:color="auto" w:sz="6" w:space="0"/>
              <w:bottom w:val="single" w:color="auto" w:sz="6" w:space="0"/>
              <w:right w:val="single" w:color="auto" w:sz="6" w:space="0"/>
            </w:tcBorders>
            <w:noWrap w:val="0"/>
            <w:vAlign w:val="center"/>
          </w:tcPr>
          <w:p w14:paraId="19563F0B">
            <w:pPr>
              <w:widowControl/>
              <w:jc w:val="center"/>
              <w:rPr>
                <w:rFonts w:ascii="宋体" w:hAnsi="宋体"/>
                <w:bCs/>
                <w:sz w:val="20"/>
                <w:szCs w:val="20"/>
              </w:rPr>
            </w:pPr>
            <w:r>
              <w:rPr>
                <w:rFonts w:ascii="宋体" w:hAnsi="宋体"/>
                <w:bCs/>
                <w:sz w:val="20"/>
                <w:szCs w:val="20"/>
                <w:lang w:bidi="ar"/>
              </w:rPr>
              <w:t>22</w:t>
            </w:r>
          </w:p>
        </w:tc>
        <w:tc>
          <w:tcPr>
            <w:tcW w:w="1644" w:type="dxa"/>
            <w:tcBorders>
              <w:top w:val="single" w:color="auto" w:sz="6" w:space="0"/>
              <w:left w:val="single" w:color="auto" w:sz="6" w:space="0"/>
              <w:bottom w:val="single" w:color="auto" w:sz="6" w:space="0"/>
              <w:right w:val="single" w:color="auto" w:sz="6" w:space="0"/>
            </w:tcBorders>
            <w:noWrap w:val="0"/>
            <w:vAlign w:val="center"/>
          </w:tcPr>
          <w:p w14:paraId="71BB6E92">
            <w:pPr>
              <w:widowControl/>
              <w:jc w:val="center"/>
              <w:rPr>
                <w:rFonts w:ascii="宋体" w:hAnsi="宋体"/>
                <w:bCs/>
                <w:sz w:val="20"/>
                <w:szCs w:val="20"/>
              </w:rPr>
            </w:pPr>
            <w:r>
              <w:rPr>
                <w:rFonts w:ascii="宋体" w:hAnsi="宋体"/>
                <w:bCs/>
                <w:sz w:val="20"/>
                <w:szCs w:val="20"/>
                <w:lang w:bidi="ar"/>
              </w:rPr>
              <w:t>22</w:t>
            </w:r>
          </w:p>
        </w:tc>
        <w:tc>
          <w:tcPr>
            <w:tcW w:w="1084" w:type="dxa"/>
            <w:tcBorders>
              <w:top w:val="single" w:color="auto" w:sz="6" w:space="0"/>
              <w:left w:val="single" w:color="auto" w:sz="6" w:space="0"/>
              <w:bottom w:val="single" w:color="auto" w:sz="6" w:space="0"/>
              <w:right w:val="single" w:color="auto" w:sz="12" w:space="0"/>
            </w:tcBorders>
            <w:noWrap w:val="0"/>
            <w:vAlign w:val="center"/>
          </w:tcPr>
          <w:p w14:paraId="2E11CC77">
            <w:pPr>
              <w:widowControl/>
              <w:jc w:val="center"/>
              <w:rPr>
                <w:rFonts w:ascii="宋体" w:hAnsi="宋体"/>
                <w:bCs/>
                <w:sz w:val="20"/>
                <w:szCs w:val="20"/>
              </w:rPr>
            </w:pPr>
            <w:r>
              <w:rPr>
                <w:rFonts w:ascii="宋体" w:hAnsi="宋体"/>
                <w:bCs/>
                <w:sz w:val="20"/>
                <w:szCs w:val="20"/>
                <w:lang w:bidi="ar"/>
              </w:rPr>
              <w:t>22</w:t>
            </w:r>
          </w:p>
        </w:tc>
      </w:tr>
      <w:tr w14:paraId="6D53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7" w:type="dxa"/>
            <w:vMerge w:val="restart"/>
            <w:tcBorders>
              <w:top w:val="single" w:color="auto" w:sz="6" w:space="0"/>
              <w:left w:val="single" w:color="auto" w:sz="12" w:space="0"/>
              <w:bottom w:val="single" w:color="auto" w:sz="6" w:space="0"/>
              <w:right w:val="single" w:color="auto" w:sz="6" w:space="0"/>
            </w:tcBorders>
            <w:noWrap w:val="0"/>
            <w:vAlign w:val="center"/>
          </w:tcPr>
          <w:p w14:paraId="0443F487">
            <w:pPr>
              <w:widowControl/>
              <w:jc w:val="center"/>
              <w:rPr>
                <w:rFonts w:ascii="宋体" w:hAnsi="宋体"/>
                <w:bCs/>
                <w:sz w:val="20"/>
                <w:szCs w:val="20"/>
              </w:rPr>
            </w:pPr>
            <w:r>
              <w:rPr>
                <w:rFonts w:ascii="宋体" w:hAnsi="宋体"/>
                <w:bCs/>
                <w:sz w:val="20"/>
                <w:szCs w:val="20"/>
                <w:lang w:bidi="ar"/>
              </w:rPr>
              <w:t>城市道路</w:t>
            </w:r>
          </w:p>
        </w:tc>
        <w:tc>
          <w:tcPr>
            <w:tcW w:w="2562" w:type="dxa"/>
            <w:gridSpan w:val="2"/>
            <w:tcBorders>
              <w:top w:val="single" w:color="auto" w:sz="6" w:space="0"/>
              <w:left w:val="single" w:color="auto" w:sz="6" w:space="0"/>
              <w:bottom w:val="single" w:color="auto" w:sz="6" w:space="0"/>
              <w:right w:val="single" w:color="auto" w:sz="6" w:space="0"/>
            </w:tcBorders>
            <w:noWrap w:val="0"/>
            <w:vAlign w:val="center"/>
          </w:tcPr>
          <w:p w14:paraId="2B5FC700">
            <w:pPr>
              <w:widowControl/>
              <w:jc w:val="center"/>
              <w:rPr>
                <w:rFonts w:ascii="宋体" w:hAnsi="宋体"/>
                <w:bCs/>
                <w:sz w:val="20"/>
                <w:szCs w:val="20"/>
              </w:rPr>
            </w:pPr>
            <w:r>
              <w:rPr>
                <w:rFonts w:ascii="宋体" w:hAnsi="宋体"/>
                <w:bCs/>
                <w:sz w:val="20"/>
                <w:szCs w:val="20"/>
                <w:lang w:bidi="ar"/>
              </w:rPr>
              <w:t>快速路、主干路</w:t>
            </w:r>
          </w:p>
        </w:tc>
        <w:tc>
          <w:tcPr>
            <w:tcW w:w="1829" w:type="dxa"/>
            <w:tcBorders>
              <w:top w:val="single" w:color="auto" w:sz="6" w:space="0"/>
              <w:left w:val="single" w:color="auto" w:sz="6" w:space="0"/>
              <w:bottom w:val="single" w:color="auto" w:sz="6" w:space="0"/>
              <w:right w:val="single" w:color="auto" w:sz="6" w:space="0"/>
            </w:tcBorders>
            <w:noWrap w:val="0"/>
            <w:vAlign w:val="center"/>
          </w:tcPr>
          <w:p w14:paraId="142DA42A">
            <w:pPr>
              <w:widowControl/>
              <w:jc w:val="center"/>
              <w:rPr>
                <w:rFonts w:ascii="宋体" w:hAnsi="宋体"/>
                <w:bCs/>
                <w:sz w:val="20"/>
                <w:szCs w:val="20"/>
              </w:rPr>
            </w:pPr>
            <w:r>
              <w:rPr>
                <w:rFonts w:ascii="宋体" w:hAnsi="宋体"/>
                <w:bCs/>
                <w:sz w:val="20"/>
                <w:szCs w:val="20"/>
                <w:lang w:bidi="ar"/>
              </w:rPr>
              <w:t>8</w:t>
            </w:r>
          </w:p>
        </w:tc>
        <w:tc>
          <w:tcPr>
            <w:tcW w:w="1644" w:type="dxa"/>
            <w:tcBorders>
              <w:top w:val="single" w:color="auto" w:sz="6" w:space="0"/>
              <w:left w:val="single" w:color="auto" w:sz="6" w:space="0"/>
              <w:bottom w:val="single" w:color="auto" w:sz="6" w:space="0"/>
              <w:right w:val="single" w:color="auto" w:sz="6" w:space="0"/>
            </w:tcBorders>
            <w:noWrap w:val="0"/>
            <w:vAlign w:val="center"/>
          </w:tcPr>
          <w:p w14:paraId="1FC6BE5B">
            <w:pPr>
              <w:widowControl/>
              <w:jc w:val="center"/>
              <w:rPr>
                <w:rFonts w:ascii="宋体" w:hAnsi="宋体"/>
                <w:bCs/>
                <w:sz w:val="20"/>
                <w:szCs w:val="20"/>
              </w:rPr>
            </w:pPr>
            <w:r>
              <w:rPr>
                <w:rFonts w:ascii="宋体" w:hAnsi="宋体"/>
                <w:bCs/>
                <w:sz w:val="20"/>
                <w:szCs w:val="20"/>
                <w:lang w:bidi="ar"/>
              </w:rPr>
              <w:t>8</w:t>
            </w:r>
          </w:p>
        </w:tc>
        <w:tc>
          <w:tcPr>
            <w:tcW w:w="1084" w:type="dxa"/>
            <w:tcBorders>
              <w:top w:val="single" w:color="auto" w:sz="6" w:space="0"/>
              <w:left w:val="single" w:color="auto" w:sz="6" w:space="0"/>
              <w:bottom w:val="single" w:color="auto" w:sz="6" w:space="0"/>
              <w:right w:val="single" w:color="auto" w:sz="12" w:space="0"/>
            </w:tcBorders>
            <w:noWrap w:val="0"/>
            <w:vAlign w:val="center"/>
          </w:tcPr>
          <w:p w14:paraId="46F2B553">
            <w:pPr>
              <w:widowControl/>
              <w:jc w:val="center"/>
              <w:rPr>
                <w:rFonts w:ascii="宋体" w:hAnsi="宋体"/>
                <w:bCs/>
                <w:sz w:val="20"/>
                <w:szCs w:val="20"/>
              </w:rPr>
            </w:pPr>
            <w:r>
              <w:rPr>
                <w:rFonts w:ascii="宋体" w:hAnsi="宋体"/>
                <w:bCs/>
                <w:sz w:val="20"/>
                <w:szCs w:val="20"/>
                <w:lang w:bidi="ar"/>
              </w:rPr>
              <w:t>6</w:t>
            </w:r>
          </w:p>
        </w:tc>
      </w:tr>
      <w:tr w14:paraId="49F0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7" w:type="dxa"/>
            <w:vMerge w:val="continue"/>
            <w:tcBorders>
              <w:top w:val="single" w:color="auto" w:sz="6" w:space="0"/>
              <w:left w:val="single" w:color="auto" w:sz="12" w:space="0"/>
              <w:bottom w:val="single" w:color="auto" w:sz="6" w:space="0"/>
              <w:right w:val="single" w:color="auto" w:sz="6" w:space="0"/>
            </w:tcBorders>
            <w:noWrap w:val="0"/>
            <w:vAlign w:val="center"/>
          </w:tcPr>
          <w:p w14:paraId="09EB974B">
            <w:pPr>
              <w:rPr>
                <w:rFonts w:ascii="宋体" w:hAnsi="宋体"/>
                <w:sz w:val="20"/>
                <w:szCs w:val="20"/>
              </w:rPr>
            </w:pPr>
          </w:p>
        </w:tc>
        <w:tc>
          <w:tcPr>
            <w:tcW w:w="2562" w:type="dxa"/>
            <w:gridSpan w:val="2"/>
            <w:tcBorders>
              <w:top w:val="single" w:color="auto" w:sz="6" w:space="0"/>
              <w:left w:val="single" w:color="auto" w:sz="6" w:space="0"/>
              <w:bottom w:val="single" w:color="auto" w:sz="6" w:space="0"/>
              <w:right w:val="single" w:color="auto" w:sz="6" w:space="0"/>
            </w:tcBorders>
            <w:noWrap w:val="0"/>
            <w:vAlign w:val="center"/>
          </w:tcPr>
          <w:p w14:paraId="22B65B48">
            <w:pPr>
              <w:widowControl/>
              <w:jc w:val="center"/>
              <w:rPr>
                <w:rFonts w:ascii="宋体" w:hAnsi="宋体"/>
                <w:bCs/>
                <w:sz w:val="20"/>
                <w:szCs w:val="20"/>
              </w:rPr>
            </w:pPr>
            <w:r>
              <w:rPr>
                <w:rFonts w:ascii="宋体" w:hAnsi="宋体"/>
                <w:bCs/>
                <w:sz w:val="20"/>
                <w:szCs w:val="20"/>
                <w:lang w:bidi="ar"/>
              </w:rPr>
              <w:t>次干路、支路</w:t>
            </w:r>
          </w:p>
        </w:tc>
        <w:tc>
          <w:tcPr>
            <w:tcW w:w="1829" w:type="dxa"/>
            <w:tcBorders>
              <w:top w:val="single" w:color="auto" w:sz="6" w:space="0"/>
              <w:left w:val="single" w:color="auto" w:sz="6" w:space="0"/>
              <w:bottom w:val="single" w:color="auto" w:sz="6" w:space="0"/>
              <w:right w:val="single" w:color="auto" w:sz="6" w:space="0"/>
            </w:tcBorders>
            <w:noWrap w:val="0"/>
            <w:vAlign w:val="center"/>
          </w:tcPr>
          <w:p w14:paraId="13921436">
            <w:pPr>
              <w:widowControl/>
              <w:jc w:val="center"/>
              <w:rPr>
                <w:rFonts w:ascii="宋体" w:hAnsi="宋体"/>
                <w:bCs/>
                <w:sz w:val="20"/>
                <w:szCs w:val="20"/>
              </w:rPr>
            </w:pPr>
            <w:r>
              <w:rPr>
                <w:rFonts w:ascii="宋体" w:hAnsi="宋体"/>
                <w:bCs/>
                <w:sz w:val="20"/>
                <w:szCs w:val="20"/>
                <w:lang w:bidi="ar"/>
              </w:rPr>
              <w:t>6</w:t>
            </w:r>
          </w:p>
        </w:tc>
        <w:tc>
          <w:tcPr>
            <w:tcW w:w="1644" w:type="dxa"/>
            <w:tcBorders>
              <w:top w:val="single" w:color="auto" w:sz="6" w:space="0"/>
              <w:left w:val="single" w:color="auto" w:sz="6" w:space="0"/>
              <w:bottom w:val="single" w:color="auto" w:sz="6" w:space="0"/>
              <w:right w:val="single" w:color="auto" w:sz="6" w:space="0"/>
            </w:tcBorders>
            <w:noWrap w:val="0"/>
            <w:vAlign w:val="center"/>
          </w:tcPr>
          <w:p w14:paraId="2F757126">
            <w:pPr>
              <w:widowControl/>
              <w:jc w:val="center"/>
              <w:rPr>
                <w:rFonts w:ascii="宋体" w:hAnsi="宋体"/>
                <w:bCs/>
                <w:sz w:val="20"/>
                <w:szCs w:val="20"/>
              </w:rPr>
            </w:pPr>
            <w:r>
              <w:rPr>
                <w:rFonts w:ascii="宋体" w:hAnsi="宋体"/>
                <w:bCs/>
                <w:sz w:val="20"/>
                <w:szCs w:val="20"/>
                <w:lang w:bidi="ar"/>
              </w:rPr>
              <w:t>6</w:t>
            </w:r>
          </w:p>
        </w:tc>
        <w:tc>
          <w:tcPr>
            <w:tcW w:w="1084" w:type="dxa"/>
            <w:tcBorders>
              <w:top w:val="single" w:color="auto" w:sz="6" w:space="0"/>
              <w:left w:val="single" w:color="auto" w:sz="6" w:space="0"/>
              <w:bottom w:val="single" w:color="auto" w:sz="6" w:space="0"/>
              <w:right w:val="single" w:color="auto" w:sz="12" w:space="0"/>
            </w:tcBorders>
            <w:noWrap w:val="0"/>
            <w:vAlign w:val="center"/>
          </w:tcPr>
          <w:p w14:paraId="4B9CB646">
            <w:pPr>
              <w:widowControl/>
              <w:jc w:val="center"/>
              <w:rPr>
                <w:rFonts w:ascii="宋体" w:hAnsi="宋体"/>
                <w:bCs/>
                <w:sz w:val="20"/>
                <w:szCs w:val="20"/>
              </w:rPr>
            </w:pPr>
            <w:r>
              <w:rPr>
                <w:rFonts w:ascii="宋体" w:hAnsi="宋体"/>
                <w:bCs/>
                <w:sz w:val="20"/>
                <w:szCs w:val="20"/>
                <w:lang w:bidi="ar"/>
              </w:rPr>
              <w:t>5</w:t>
            </w:r>
          </w:p>
        </w:tc>
      </w:tr>
      <w:tr w14:paraId="362D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14:paraId="3BBB6432">
            <w:pPr>
              <w:widowControl/>
              <w:jc w:val="center"/>
              <w:rPr>
                <w:rFonts w:ascii="宋体" w:hAnsi="宋体"/>
                <w:bCs/>
                <w:sz w:val="20"/>
                <w:szCs w:val="20"/>
              </w:rPr>
            </w:pPr>
            <w:r>
              <w:rPr>
                <w:rFonts w:ascii="宋体" w:hAnsi="宋体"/>
                <w:bCs/>
                <w:sz w:val="20"/>
                <w:szCs w:val="20"/>
                <w:lang w:bidi="ar"/>
              </w:rPr>
              <w:t>架空通信线和通信发射塔</w:t>
            </w:r>
          </w:p>
        </w:tc>
        <w:tc>
          <w:tcPr>
            <w:tcW w:w="4557" w:type="dxa"/>
            <w:gridSpan w:val="3"/>
            <w:tcBorders>
              <w:top w:val="single" w:color="auto" w:sz="6" w:space="0"/>
              <w:left w:val="single" w:color="auto" w:sz="6" w:space="0"/>
              <w:bottom w:val="single" w:color="auto" w:sz="6" w:space="0"/>
              <w:right w:val="single" w:color="auto" w:sz="12" w:space="0"/>
            </w:tcBorders>
            <w:noWrap w:val="0"/>
            <w:vAlign w:val="center"/>
          </w:tcPr>
          <w:p w14:paraId="31A2FFE7">
            <w:pPr>
              <w:widowControl/>
              <w:jc w:val="center"/>
              <w:rPr>
                <w:rFonts w:ascii="宋体" w:hAnsi="宋体"/>
                <w:bCs/>
                <w:sz w:val="20"/>
                <w:szCs w:val="20"/>
              </w:rPr>
            </w:pPr>
            <w:r>
              <w:rPr>
                <w:rFonts w:ascii="宋体" w:hAnsi="宋体"/>
                <w:bCs/>
                <w:sz w:val="20"/>
                <w:szCs w:val="20"/>
                <w:lang w:bidi="ar"/>
              </w:rPr>
              <w:t>0.75倍杆(塔)高</w:t>
            </w:r>
          </w:p>
        </w:tc>
      </w:tr>
      <w:tr w14:paraId="4D94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7" w:type="dxa"/>
            <w:vMerge w:val="restart"/>
            <w:tcBorders>
              <w:top w:val="single" w:color="auto" w:sz="6" w:space="0"/>
              <w:left w:val="single" w:color="auto" w:sz="12" w:space="0"/>
              <w:bottom w:val="single" w:color="auto" w:sz="12" w:space="0"/>
              <w:right w:val="single" w:color="auto" w:sz="6" w:space="0"/>
            </w:tcBorders>
            <w:noWrap w:val="0"/>
            <w:vAlign w:val="center"/>
          </w:tcPr>
          <w:p w14:paraId="2CD46880">
            <w:pPr>
              <w:widowControl/>
              <w:jc w:val="center"/>
              <w:rPr>
                <w:rFonts w:ascii="宋体" w:hAnsi="宋体"/>
                <w:bCs/>
                <w:sz w:val="20"/>
                <w:szCs w:val="20"/>
              </w:rPr>
            </w:pPr>
            <w:r>
              <w:rPr>
                <w:rFonts w:ascii="宋体" w:hAnsi="宋体"/>
                <w:bCs/>
                <w:sz w:val="20"/>
                <w:szCs w:val="20"/>
                <w:lang w:bidi="ar"/>
              </w:rPr>
              <w:t>架空电力线路</w:t>
            </w:r>
          </w:p>
        </w:tc>
        <w:tc>
          <w:tcPr>
            <w:tcW w:w="2562" w:type="dxa"/>
            <w:gridSpan w:val="2"/>
            <w:tcBorders>
              <w:top w:val="single" w:color="auto" w:sz="6" w:space="0"/>
              <w:left w:val="single" w:color="auto" w:sz="6" w:space="0"/>
              <w:bottom w:val="single" w:color="auto" w:sz="6" w:space="0"/>
              <w:right w:val="single" w:color="auto" w:sz="6" w:space="0"/>
            </w:tcBorders>
            <w:noWrap w:val="0"/>
            <w:vAlign w:val="center"/>
          </w:tcPr>
          <w:p w14:paraId="004E4738">
            <w:pPr>
              <w:widowControl/>
              <w:jc w:val="center"/>
              <w:rPr>
                <w:rFonts w:ascii="宋体" w:hAnsi="宋体"/>
                <w:bCs/>
                <w:sz w:val="20"/>
                <w:szCs w:val="20"/>
              </w:rPr>
            </w:pPr>
            <w:r>
              <w:rPr>
                <w:rFonts w:ascii="宋体" w:hAnsi="宋体"/>
                <w:bCs/>
                <w:sz w:val="20"/>
                <w:szCs w:val="20"/>
                <w:lang w:bidi="ar"/>
              </w:rPr>
              <w:t>无绝缘层</w:t>
            </w:r>
          </w:p>
        </w:tc>
        <w:tc>
          <w:tcPr>
            <w:tcW w:w="4557" w:type="dxa"/>
            <w:gridSpan w:val="3"/>
            <w:tcBorders>
              <w:top w:val="single" w:color="auto" w:sz="6" w:space="0"/>
              <w:left w:val="single" w:color="auto" w:sz="6" w:space="0"/>
              <w:bottom w:val="single" w:color="auto" w:sz="6" w:space="0"/>
              <w:right w:val="single" w:color="auto" w:sz="12" w:space="0"/>
            </w:tcBorders>
            <w:noWrap w:val="0"/>
            <w:vAlign w:val="center"/>
          </w:tcPr>
          <w:p w14:paraId="17FECB9F">
            <w:pPr>
              <w:widowControl/>
              <w:jc w:val="center"/>
              <w:rPr>
                <w:rFonts w:ascii="宋体" w:hAnsi="宋体"/>
                <w:bCs/>
                <w:sz w:val="20"/>
                <w:szCs w:val="20"/>
              </w:rPr>
            </w:pPr>
            <w:r>
              <w:rPr>
                <w:rFonts w:ascii="宋体" w:hAnsi="宋体"/>
                <w:bCs/>
                <w:sz w:val="20"/>
                <w:szCs w:val="20"/>
                <w:lang w:bidi="ar"/>
              </w:rPr>
              <w:t>1倍杆(塔)高</w:t>
            </w:r>
          </w:p>
        </w:tc>
      </w:tr>
      <w:tr w14:paraId="09F8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7" w:type="dxa"/>
            <w:vMerge w:val="continue"/>
            <w:tcBorders>
              <w:top w:val="single" w:color="auto" w:sz="6" w:space="0"/>
              <w:left w:val="single" w:color="auto" w:sz="12" w:space="0"/>
              <w:bottom w:val="single" w:color="auto" w:sz="12" w:space="0"/>
              <w:right w:val="single" w:color="auto" w:sz="6" w:space="0"/>
            </w:tcBorders>
            <w:noWrap w:val="0"/>
            <w:vAlign w:val="center"/>
          </w:tcPr>
          <w:p w14:paraId="463407C9">
            <w:pPr>
              <w:rPr>
                <w:rFonts w:ascii="宋体" w:hAnsi="宋体"/>
                <w:sz w:val="20"/>
                <w:szCs w:val="20"/>
              </w:rPr>
            </w:pPr>
          </w:p>
        </w:tc>
        <w:tc>
          <w:tcPr>
            <w:tcW w:w="2562" w:type="dxa"/>
            <w:gridSpan w:val="2"/>
            <w:tcBorders>
              <w:top w:val="single" w:color="auto" w:sz="6" w:space="0"/>
              <w:left w:val="single" w:color="auto" w:sz="6" w:space="0"/>
              <w:bottom w:val="single" w:color="auto" w:sz="12" w:space="0"/>
              <w:right w:val="single" w:color="auto" w:sz="6" w:space="0"/>
            </w:tcBorders>
            <w:noWrap w:val="0"/>
            <w:vAlign w:val="center"/>
          </w:tcPr>
          <w:p w14:paraId="4968CF23">
            <w:pPr>
              <w:widowControl/>
              <w:jc w:val="center"/>
              <w:rPr>
                <w:rFonts w:ascii="宋体" w:hAnsi="宋体"/>
                <w:bCs/>
                <w:sz w:val="20"/>
                <w:szCs w:val="20"/>
              </w:rPr>
            </w:pPr>
            <w:r>
              <w:rPr>
                <w:rFonts w:ascii="宋体" w:hAnsi="宋体"/>
                <w:bCs/>
                <w:sz w:val="20"/>
                <w:szCs w:val="20"/>
                <w:lang w:bidi="ar"/>
              </w:rPr>
              <w:t>有绝缘层</w:t>
            </w:r>
          </w:p>
        </w:tc>
        <w:tc>
          <w:tcPr>
            <w:tcW w:w="4557" w:type="dxa"/>
            <w:gridSpan w:val="3"/>
            <w:tcBorders>
              <w:top w:val="single" w:color="auto" w:sz="6" w:space="0"/>
              <w:left w:val="single" w:color="auto" w:sz="6" w:space="0"/>
              <w:bottom w:val="single" w:color="auto" w:sz="12" w:space="0"/>
              <w:right w:val="single" w:color="auto" w:sz="12" w:space="0"/>
            </w:tcBorders>
            <w:noWrap w:val="0"/>
            <w:vAlign w:val="center"/>
          </w:tcPr>
          <w:p w14:paraId="5C94B83F">
            <w:pPr>
              <w:widowControl/>
              <w:jc w:val="center"/>
              <w:rPr>
                <w:rFonts w:ascii="宋体" w:hAnsi="宋体"/>
                <w:bCs/>
                <w:sz w:val="20"/>
                <w:szCs w:val="20"/>
              </w:rPr>
            </w:pPr>
            <w:r>
              <w:rPr>
                <w:rFonts w:ascii="宋体" w:hAnsi="宋体"/>
                <w:bCs/>
                <w:sz w:val="20"/>
                <w:szCs w:val="20"/>
                <w:lang w:bidi="ar"/>
              </w:rPr>
              <w:t>0.75倍杆(塔)高</w:t>
            </w:r>
          </w:p>
        </w:tc>
      </w:tr>
    </w:tbl>
    <w:p w14:paraId="5D070392">
      <w:pPr>
        <w:snapToGrid w:val="0"/>
        <w:spacing w:before="120" w:beforeLines="50" w:line="330" w:lineRule="exact"/>
        <w:ind w:left="1053" w:leftChars="228" w:hanging="574" w:hangingChars="286"/>
        <w:rPr>
          <w:rFonts w:ascii="宋体" w:hAnsi="宋体"/>
          <w:bCs/>
          <w:sz w:val="20"/>
          <w:szCs w:val="20"/>
          <w:lang w:bidi="ar"/>
        </w:rPr>
      </w:pPr>
      <w:r>
        <w:rPr>
          <w:rFonts w:ascii="宋体" w:hAnsi="宋体"/>
          <w:b/>
          <w:bCs/>
          <w:sz w:val="20"/>
          <w:szCs w:val="20"/>
          <w:lang w:bidi="ar"/>
        </w:rPr>
        <w:t>注：</w:t>
      </w:r>
      <w:r>
        <w:rPr>
          <w:rFonts w:ascii="宋体" w:hAnsi="宋体"/>
          <w:bCs/>
          <w:sz w:val="20"/>
          <w:szCs w:val="20"/>
          <w:lang w:bidi="ar"/>
        </w:rPr>
        <w:t>1.室外变、配电站指电力系统电压为35 kV～500kV，且每台变压器容量在10MV•A以上的室外变、配电站，以及工业企业的变压器总油量大于5t的室外降压变电站。其他规格的室外变、配电站或变压器按丙类物品生产厂房确定。</w:t>
      </w:r>
    </w:p>
    <w:p w14:paraId="16C8B8DD">
      <w:pPr>
        <w:snapToGrid w:val="0"/>
        <w:spacing w:line="330" w:lineRule="exact"/>
        <w:ind w:left="1108" w:leftChars="456" w:hanging="150" w:hangingChars="75"/>
        <w:rPr>
          <w:rFonts w:ascii="宋体" w:hAnsi="宋体"/>
          <w:bCs/>
          <w:sz w:val="20"/>
          <w:szCs w:val="20"/>
          <w:lang w:bidi="ar"/>
        </w:rPr>
      </w:pPr>
      <w:r>
        <w:rPr>
          <w:rFonts w:ascii="宋体" w:hAnsi="宋体"/>
          <w:bCs/>
          <w:sz w:val="20"/>
          <w:szCs w:val="20"/>
          <w:lang w:bidi="ar"/>
        </w:rPr>
        <w:t>2.表中道路系指机动车道路。油罐、加油机和油罐通气管管口与郊区公路的安全间距按城市道路确定，高速公路、一级和二级公路按城市快速路、主干路确定；三级和四级公路按城市次干路、支路确定。</w:t>
      </w:r>
    </w:p>
    <w:p w14:paraId="7C70B63D">
      <w:pPr>
        <w:snapToGrid w:val="0"/>
        <w:spacing w:line="330" w:lineRule="exact"/>
        <w:ind w:left="1108" w:leftChars="456" w:hanging="150" w:hangingChars="75"/>
        <w:rPr>
          <w:rFonts w:ascii="宋体" w:hAnsi="宋体"/>
          <w:bCs/>
          <w:sz w:val="20"/>
          <w:szCs w:val="20"/>
          <w:lang w:bidi="ar"/>
        </w:rPr>
      </w:pPr>
      <w:r>
        <w:rPr>
          <w:rFonts w:ascii="宋体" w:hAnsi="宋体"/>
          <w:bCs/>
          <w:sz w:val="20"/>
          <w:szCs w:val="20"/>
          <w:lang w:bidi="ar"/>
        </w:rPr>
        <w:t>3.液化石油气卸车点、加气机、放散管管口与站外一、二、三类保护物地下室的出入口、门窗的距离，应按本表一、二、三类保护物的安全间距增加50% 。</w:t>
      </w:r>
    </w:p>
    <w:p w14:paraId="4B2EEB3A">
      <w:pPr>
        <w:snapToGrid w:val="0"/>
        <w:spacing w:line="330" w:lineRule="exact"/>
        <w:ind w:left="1108" w:leftChars="456" w:hanging="150" w:hangingChars="75"/>
        <w:rPr>
          <w:rFonts w:ascii="宋体" w:hAnsi="宋体"/>
          <w:bCs/>
          <w:sz w:val="20"/>
          <w:szCs w:val="20"/>
          <w:lang w:bidi="ar"/>
        </w:rPr>
      </w:pPr>
      <w:r>
        <w:rPr>
          <w:rFonts w:ascii="宋体" w:hAnsi="宋体"/>
          <w:bCs/>
          <w:sz w:val="20"/>
          <w:szCs w:val="20"/>
          <w:lang w:bidi="ar"/>
        </w:rPr>
        <w:t>4.一、二级耐火等级民用建筑物面向加气站一侧的墙为无门窗洞口实体墙时，站内液化石油气设备与该民用建筑物的距离不应低于本表规定的安全间距的70%。</w:t>
      </w:r>
    </w:p>
    <w:p w14:paraId="15F5F3F0">
      <w:pPr>
        <w:snapToGrid w:val="0"/>
        <w:spacing w:line="330" w:lineRule="exact"/>
        <w:ind w:left="1108" w:leftChars="456" w:hanging="150" w:hangingChars="75"/>
        <w:rPr>
          <w:rFonts w:ascii="宋体" w:hAnsi="宋体"/>
          <w:bCs/>
          <w:sz w:val="20"/>
          <w:szCs w:val="20"/>
          <w:lang w:bidi="ar"/>
        </w:rPr>
      </w:pPr>
      <w:r>
        <w:rPr>
          <w:rFonts w:ascii="宋体" w:hAnsi="宋体"/>
          <w:bCs/>
          <w:sz w:val="20"/>
          <w:szCs w:val="20"/>
          <w:lang w:bidi="ar"/>
        </w:rPr>
        <w:t>5.液化石油气卸车点、加气机、放散管管口与站外建筑面积不超过200m2独立的民用建筑物的距离，不应低于本表的三类保护物的安全间距的80%，但不应小于11m 。</w:t>
      </w:r>
    </w:p>
    <w:p w14:paraId="4FE6F924">
      <w:pPr>
        <w:rPr>
          <w:rFonts w:eastAsia="黑体"/>
          <w:sz w:val="28"/>
          <w:szCs w:val="28"/>
          <w:lang w:bidi="ar"/>
        </w:rPr>
      </w:pPr>
      <w:r>
        <w:rPr>
          <w:rFonts w:ascii="宋体" w:hAnsi="宋体"/>
          <w:szCs w:val="21"/>
          <w:lang w:bidi="ar"/>
        </w:rPr>
        <w:br w:type="page"/>
      </w:r>
      <w:r>
        <w:rPr>
          <w:rFonts w:eastAsia="黑体"/>
          <w:sz w:val="28"/>
          <w:szCs w:val="28"/>
          <w:lang w:bidi="ar"/>
        </w:rPr>
        <w:t>附表8—7</w:t>
      </w:r>
    </w:p>
    <w:p w14:paraId="7220AB9D">
      <w:pPr>
        <w:autoSpaceDE w:val="0"/>
        <w:autoSpaceDN w:val="0"/>
        <w:adjustRightInd w:val="0"/>
        <w:spacing w:before="240" w:beforeLines="100"/>
        <w:jc w:val="center"/>
        <w:rPr>
          <w:rFonts w:eastAsia="黑体"/>
          <w:sz w:val="28"/>
          <w:szCs w:val="28"/>
          <w:lang w:bidi="ar"/>
        </w:rPr>
      </w:pPr>
      <w:r>
        <w:rPr>
          <w:rFonts w:eastAsia="黑体"/>
          <w:sz w:val="28"/>
          <w:szCs w:val="28"/>
          <w:lang w:bidi="ar"/>
        </w:rPr>
        <w:t>压缩天然气工艺设备与站外建、构筑物的安全间距（单位：m）</w:t>
      </w:r>
    </w:p>
    <w:p w14:paraId="680D6BE8">
      <w:pPr>
        <w:snapToGrid w:val="0"/>
        <w:spacing w:after="48" w:afterLines="20"/>
        <w:jc w:val="center"/>
        <w:rPr>
          <w:rFonts w:eastAsia="仿宋_GB2312"/>
          <w:bCs/>
          <w:szCs w:val="20"/>
        </w:rPr>
      </w:pP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0"/>
        <w:gridCol w:w="230"/>
        <w:gridCol w:w="3617"/>
        <w:gridCol w:w="984"/>
        <w:gridCol w:w="1001"/>
        <w:gridCol w:w="1809"/>
      </w:tblGrid>
      <w:tr w14:paraId="2BFBC8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4987" w:type="dxa"/>
            <w:gridSpan w:val="3"/>
            <w:vMerge w:val="restart"/>
            <w:tcBorders>
              <w:top w:val="single" w:color="auto" w:sz="12" w:space="0"/>
              <w:left w:val="single" w:color="auto" w:sz="12" w:space="0"/>
              <w:bottom w:val="single" w:color="auto" w:sz="6" w:space="0"/>
              <w:right w:val="single" w:color="auto" w:sz="6" w:space="0"/>
            </w:tcBorders>
            <w:noWrap w:val="0"/>
            <w:vAlign w:val="center"/>
          </w:tcPr>
          <w:p w14:paraId="0B55F80A">
            <w:pPr>
              <w:widowControl/>
              <w:jc w:val="center"/>
              <w:rPr>
                <w:rFonts w:eastAsia="黑体"/>
                <w:bCs/>
                <w:sz w:val="20"/>
                <w:szCs w:val="20"/>
              </w:rPr>
            </w:pPr>
            <w:r>
              <w:rPr>
                <w:rFonts w:eastAsia="黑体"/>
                <w:bCs/>
                <w:sz w:val="20"/>
                <w:szCs w:val="20"/>
                <w:lang w:bidi="ar"/>
              </w:rPr>
              <w:t>站外建（构）筑物</w:t>
            </w:r>
          </w:p>
        </w:tc>
        <w:tc>
          <w:tcPr>
            <w:tcW w:w="3794" w:type="dxa"/>
            <w:gridSpan w:val="3"/>
            <w:tcBorders>
              <w:top w:val="single" w:color="auto" w:sz="12" w:space="0"/>
              <w:left w:val="single" w:color="auto" w:sz="6" w:space="0"/>
              <w:bottom w:val="single" w:color="auto" w:sz="6" w:space="0"/>
              <w:right w:val="single" w:color="auto" w:sz="12" w:space="0"/>
            </w:tcBorders>
            <w:noWrap w:val="0"/>
            <w:vAlign w:val="center"/>
          </w:tcPr>
          <w:p w14:paraId="19ACECAA">
            <w:pPr>
              <w:widowControl/>
              <w:jc w:val="center"/>
              <w:rPr>
                <w:rFonts w:eastAsia="黑体"/>
                <w:bCs/>
                <w:sz w:val="20"/>
                <w:szCs w:val="20"/>
              </w:rPr>
            </w:pPr>
            <w:r>
              <w:rPr>
                <w:rFonts w:eastAsia="黑体"/>
                <w:bCs/>
                <w:sz w:val="20"/>
                <w:szCs w:val="20"/>
                <w:lang w:bidi="ar"/>
              </w:rPr>
              <w:t>站内压缩天然气工艺设备</w:t>
            </w:r>
          </w:p>
        </w:tc>
      </w:tr>
      <w:tr w14:paraId="7253F8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4987" w:type="dxa"/>
            <w:gridSpan w:val="3"/>
            <w:vMerge w:val="continue"/>
            <w:tcBorders>
              <w:top w:val="single" w:color="auto" w:sz="12" w:space="0"/>
              <w:left w:val="single" w:color="auto" w:sz="12" w:space="0"/>
              <w:bottom w:val="single" w:color="auto" w:sz="6" w:space="0"/>
              <w:right w:val="single" w:color="auto" w:sz="6" w:space="0"/>
            </w:tcBorders>
            <w:noWrap w:val="0"/>
            <w:vAlign w:val="center"/>
          </w:tcPr>
          <w:p w14:paraId="70C60938">
            <w:pPr>
              <w:rPr>
                <w:rFonts w:eastAsia="黑体"/>
                <w:sz w:val="20"/>
                <w:szCs w:val="20"/>
              </w:rPr>
            </w:pPr>
          </w:p>
        </w:tc>
        <w:tc>
          <w:tcPr>
            <w:tcW w:w="984" w:type="dxa"/>
            <w:tcBorders>
              <w:top w:val="single" w:color="auto" w:sz="6" w:space="0"/>
              <w:left w:val="single" w:color="auto" w:sz="6" w:space="0"/>
              <w:bottom w:val="single" w:color="auto" w:sz="6" w:space="0"/>
              <w:right w:val="single" w:color="auto" w:sz="6" w:space="0"/>
            </w:tcBorders>
            <w:noWrap w:val="0"/>
            <w:vAlign w:val="center"/>
          </w:tcPr>
          <w:p w14:paraId="1DC4E2CB">
            <w:pPr>
              <w:widowControl/>
              <w:jc w:val="center"/>
              <w:rPr>
                <w:rFonts w:eastAsia="黑体"/>
                <w:bCs/>
                <w:sz w:val="20"/>
                <w:szCs w:val="20"/>
              </w:rPr>
            </w:pPr>
            <w:r>
              <w:rPr>
                <w:rFonts w:eastAsia="黑体"/>
                <w:bCs/>
                <w:sz w:val="20"/>
                <w:szCs w:val="20"/>
                <w:lang w:bidi="ar"/>
              </w:rPr>
              <w:t>储气瓶</w:t>
            </w:r>
          </w:p>
        </w:tc>
        <w:tc>
          <w:tcPr>
            <w:tcW w:w="1001" w:type="dxa"/>
            <w:tcBorders>
              <w:top w:val="single" w:color="auto" w:sz="6" w:space="0"/>
              <w:left w:val="single" w:color="auto" w:sz="6" w:space="0"/>
              <w:bottom w:val="single" w:color="auto" w:sz="6" w:space="0"/>
              <w:right w:val="single" w:color="auto" w:sz="6" w:space="0"/>
            </w:tcBorders>
            <w:noWrap w:val="0"/>
            <w:vAlign w:val="center"/>
          </w:tcPr>
          <w:p w14:paraId="5E0B1858">
            <w:pPr>
              <w:widowControl/>
              <w:jc w:val="center"/>
              <w:rPr>
                <w:rFonts w:eastAsia="黑体"/>
                <w:bCs/>
                <w:sz w:val="20"/>
                <w:szCs w:val="20"/>
                <w:lang w:bidi="ar"/>
              </w:rPr>
            </w:pPr>
            <w:r>
              <w:rPr>
                <w:rFonts w:eastAsia="黑体"/>
                <w:bCs/>
                <w:sz w:val="20"/>
                <w:szCs w:val="20"/>
                <w:lang w:bidi="ar"/>
              </w:rPr>
              <w:t>集中放散管</w:t>
            </w:r>
          </w:p>
          <w:p w14:paraId="791B5E39">
            <w:pPr>
              <w:widowControl/>
              <w:jc w:val="center"/>
              <w:rPr>
                <w:rFonts w:eastAsia="黑体"/>
                <w:bCs/>
                <w:sz w:val="20"/>
                <w:szCs w:val="20"/>
              </w:rPr>
            </w:pPr>
            <w:r>
              <w:rPr>
                <w:rFonts w:eastAsia="黑体"/>
                <w:bCs/>
                <w:sz w:val="20"/>
                <w:szCs w:val="20"/>
                <w:lang w:bidi="ar"/>
              </w:rPr>
              <w:t>管口</w:t>
            </w:r>
          </w:p>
        </w:tc>
        <w:tc>
          <w:tcPr>
            <w:tcW w:w="1809" w:type="dxa"/>
            <w:tcBorders>
              <w:top w:val="single" w:color="auto" w:sz="6" w:space="0"/>
              <w:left w:val="single" w:color="auto" w:sz="6" w:space="0"/>
              <w:bottom w:val="single" w:color="auto" w:sz="6" w:space="0"/>
              <w:right w:val="single" w:color="auto" w:sz="12" w:space="0"/>
            </w:tcBorders>
            <w:noWrap w:val="0"/>
            <w:vAlign w:val="center"/>
          </w:tcPr>
          <w:p w14:paraId="6C8F0A4A">
            <w:pPr>
              <w:widowControl/>
              <w:jc w:val="center"/>
              <w:rPr>
                <w:rFonts w:eastAsia="黑体"/>
                <w:bCs/>
                <w:sz w:val="20"/>
                <w:szCs w:val="20"/>
              </w:rPr>
            </w:pPr>
            <w:r>
              <w:rPr>
                <w:rFonts w:eastAsia="黑体"/>
                <w:bCs/>
                <w:sz w:val="20"/>
                <w:szCs w:val="20"/>
                <w:lang w:bidi="ar"/>
              </w:rPr>
              <w:t>储气井、加（卸）气设备、脱硫脱水设备、压缩机（间）</w:t>
            </w:r>
          </w:p>
        </w:tc>
      </w:tr>
      <w:tr w14:paraId="2FBC1D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14:paraId="299D42C8">
            <w:pPr>
              <w:widowControl/>
              <w:jc w:val="center"/>
              <w:rPr>
                <w:rFonts w:ascii="宋体" w:hAnsi="宋体"/>
                <w:bCs/>
                <w:sz w:val="20"/>
                <w:szCs w:val="20"/>
              </w:rPr>
            </w:pPr>
            <w:r>
              <w:rPr>
                <w:rFonts w:ascii="宋体" w:hAnsi="宋体"/>
                <w:bCs/>
                <w:sz w:val="20"/>
                <w:szCs w:val="20"/>
                <w:lang w:bidi="ar"/>
              </w:rPr>
              <w:t>重要公共建筑物</w:t>
            </w:r>
          </w:p>
        </w:tc>
        <w:tc>
          <w:tcPr>
            <w:tcW w:w="984" w:type="dxa"/>
            <w:tcBorders>
              <w:top w:val="single" w:color="auto" w:sz="6" w:space="0"/>
              <w:left w:val="single" w:color="auto" w:sz="6" w:space="0"/>
              <w:bottom w:val="single" w:color="auto" w:sz="6" w:space="0"/>
              <w:right w:val="single" w:color="auto" w:sz="6" w:space="0"/>
            </w:tcBorders>
            <w:noWrap w:val="0"/>
            <w:vAlign w:val="center"/>
          </w:tcPr>
          <w:p w14:paraId="0D35B9E3">
            <w:pPr>
              <w:widowControl/>
              <w:jc w:val="center"/>
              <w:rPr>
                <w:rFonts w:ascii="宋体" w:hAnsi="宋体"/>
                <w:bCs/>
                <w:sz w:val="20"/>
                <w:szCs w:val="20"/>
              </w:rPr>
            </w:pPr>
            <w:r>
              <w:rPr>
                <w:rFonts w:ascii="宋体" w:hAnsi="宋体"/>
                <w:bCs/>
                <w:sz w:val="20"/>
                <w:szCs w:val="20"/>
                <w:lang w:bidi="ar"/>
              </w:rPr>
              <w:t>50</w:t>
            </w:r>
          </w:p>
        </w:tc>
        <w:tc>
          <w:tcPr>
            <w:tcW w:w="1001" w:type="dxa"/>
            <w:tcBorders>
              <w:top w:val="single" w:color="auto" w:sz="6" w:space="0"/>
              <w:left w:val="single" w:color="auto" w:sz="6" w:space="0"/>
              <w:bottom w:val="single" w:color="auto" w:sz="6" w:space="0"/>
              <w:right w:val="single" w:color="auto" w:sz="6" w:space="0"/>
            </w:tcBorders>
            <w:noWrap w:val="0"/>
            <w:vAlign w:val="center"/>
          </w:tcPr>
          <w:p w14:paraId="62579B9F">
            <w:pPr>
              <w:widowControl/>
              <w:jc w:val="center"/>
              <w:rPr>
                <w:rFonts w:ascii="宋体" w:hAnsi="宋体"/>
                <w:bCs/>
                <w:sz w:val="20"/>
                <w:szCs w:val="20"/>
              </w:rPr>
            </w:pPr>
            <w:r>
              <w:rPr>
                <w:rFonts w:ascii="宋体" w:hAnsi="宋体"/>
                <w:bCs/>
                <w:sz w:val="20"/>
                <w:szCs w:val="20"/>
                <w:lang w:bidi="ar"/>
              </w:rPr>
              <w:t>30</w:t>
            </w:r>
          </w:p>
        </w:tc>
        <w:tc>
          <w:tcPr>
            <w:tcW w:w="1809" w:type="dxa"/>
            <w:tcBorders>
              <w:top w:val="single" w:color="auto" w:sz="6" w:space="0"/>
              <w:left w:val="single" w:color="auto" w:sz="6" w:space="0"/>
              <w:bottom w:val="single" w:color="auto" w:sz="6" w:space="0"/>
              <w:right w:val="single" w:color="auto" w:sz="12" w:space="0"/>
            </w:tcBorders>
            <w:noWrap w:val="0"/>
            <w:vAlign w:val="center"/>
          </w:tcPr>
          <w:p w14:paraId="2EF84AE2">
            <w:pPr>
              <w:widowControl/>
              <w:jc w:val="center"/>
              <w:rPr>
                <w:rFonts w:ascii="宋体" w:hAnsi="宋体"/>
                <w:bCs/>
                <w:sz w:val="20"/>
                <w:szCs w:val="20"/>
              </w:rPr>
            </w:pPr>
            <w:r>
              <w:rPr>
                <w:rFonts w:ascii="宋体" w:hAnsi="宋体"/>
                <w:bCs/>
                <w:sz w:val="20"/>
                <w:szCs w:val="20"/>
                <w:lang w:bidi="ar"/>
              </w:rPr>
              <w:t>30</w:t>
            </w:r>
          </w:p>
        </w:tc>
      </w:tr>
      <w:tr w14:paraId="19A6B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14:paraId="782912C7">
            <w:pPr>
              <w:widowControl/>
              <w:jc w:val="center"/>
              <w:rPr>
                <w:rFonts w:ascii="宋体" w:hAnsi="宋体"/>
                <w:bCs/>
                <w:sz w:val="20"/>
                <w:szCs w:val="20"/>
              </w:rPr>
            </w:pPr>
            <w:r>
              <w:rPr>
                <w:rFonts w:ascii="宋体" w:hAnsi="宋体"/>
                <w:bCs/>
                <w:sz w:val="20"/>
                <w:szCs w:val="20"/>
                <w:lang w:bidi="ar"/>
              </w:rPr>
              <w:t>明火地点或散发火花地点</w:t>
            </w:r>
          </w:p>
        </w:tc>
        <w:tc>
          <w:tcPr>
            <w:tcW w:w="984" w:type="dxa"/>
            <w:vMerge w:val="restart"/>
            <w:tcBorders>
              <w:top w:val="single" w:color="auto" w:sz="6" w:space="0"/>
              <w:left w:val="single" w:color="auto" w:sz="6" w:space="0"/>
              <w:bottom w:val="single" w:color="auto" w:sz="6" w:space="0"/>
              <w:right w:val="single" w:color="auto" w:sz="6" w:space="0"/>
            </w:tcBorders>
            <w:noWrap w:val="0"/>
            <w:vAlign w:val="center"/>
          </w:tcPr>
          <w:p w14:paraId="6993494F">
            <w:pPr>
              <w:widowControl/>
              <w:jc w:val="center"/>
              <w:rPr>
                <w:rFonts w:ascii="宋体" w:hAnsi="宋体"/>
                <w:bCs/>
                <w:sz w:val="20"/>
                <w:szCs w:val="20"/>
              </w:rPr>
            </w:pPr>
            <w:r>
              <w:rPr>
                <w:rFonts w:ascii="宋体" w:hAnsi="宋体"/>
                <w:bCs/>
                <w:sz w:val="20"/>
                <w:szCs w:val="20"/>
                <w:lang w:bidi="ar"/>
              </w:rPr>
              <w:t>30</w:t>
            </w:r>
          </w:p>
        </w:tc>
        <w:tc>
          <w:tcPr>
            <w:tcW w:w="1001" w:type="dxa"/>
            <w:vMerge w:val="restart"/>
            <w:tcBorders>
              <w:top w:val="single" w:color="auto" w:sz="6" w:space="0"/>
              <w:left w:val="single" w:color="auto" w:sz="6" w:space="0"/>
              <w:bottom w:val="single" w:color="auto" w:sz="6" w:space="0"/>
              <w:right w:val="single" w:color="auto" w:sz="6" w:space="0"/>
            </w:tcBorders>
            <w:noWrap w:val="0"/>
            <w:vAlign w:val="center"/>
          </w:tcPr>
          <w:p w14:paraId="63DC90CC">
            <w:pPr>
              <w:widowControl/>
              <w:jc w:val="center"/>
              <w:rPr>
                <w:rFonts w:ascii="宋体" w:hAnsi="宋体"/>
                <w:bCs/>
                <w:sz w:val="20"/>
                <w:szCs w:val="20"/>
              </w:rPr>
            </w:pPr>
            <w:r>
              <w:rPr>
                <w:rFonts w:ascii="宋体" w:hAnsi="宋体"/>
                <w:bCs/>
                <w:sz w:val="20"/>
                <w:szCs w:val="20"/>
                <w:lang w:bidi="ar"/>
              </w:rPr>
              <w:t>25</w:t>
            </w:r>
          </w:p>
        </w:tc>
        <w:tc>
          <w:tcPr>
            <w:tcW w:w="1809" w:type="dxa"/>
            <w:vMerge w:val="restart"/>
            <w:tcBorders>
              <w:top w:val="single" w:color="auto" w:sz="6" w:space="0"/>
              <w:left w:val="single" w:color="auto" w:sz="6" w:space="0"/>
              <w:bottom w:val="single" w:color="auto" w:sz="6" w:space="0"/>
              <w:right w:val="single" w:color="auto" w:sz="12" w:space="0"/>
            </w:tcBorders>
            <w:noWrap w:val="0"/>
            <w:vAlign w:val="center"/>
          </w:tcPr>
          <w:p w14:paraId="58D1FEC2">
            <w:pPr>
              <w:widowControl/>
              <w:jc w:val="center"/>
              <w:rPr>
                <w:rFonts w:ascii="宋体" w:hAnsi="宋体"/>
                <w:bCs/>
                <w:sz w:val="20"/>
                <w:szCs w:val="20"/>
              </w:rPr>
            </w:pPr>
            <w:r>
              <w:rPr>
                <w:rFonts w:ascii="宋体" w:hAnsi="宋体"/>
                <w:bCs/>
                <w:sz w:val="20"/>
                <w:szCs w:val="20"/>
                <w:lang w:bidi="ar"/>
              </w:rPr>
              <w:t>20</w:t>
            </w:r>
          </w:p>
        </w:tc>
      </w:tr>
      <w:tr w14:paraId="0365A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370" w:type="dxa"/>
            <w:gridSpan w:val="2"/>
            <w:vMerge w:val="restart"/>
            <w:tcBorders>
              <w:top w:val="single" w:color="auto" w:sz="6" w:space="0"/>
              <w:left w:val="single" w:color="auto" w:sz="12" w:space="0"/>
              <w:bottom w:val="single" w:color="auto" w:sz="6" w:space="0"/>
              <w:right w:val="single" w:color="auto" w:sz="6" w:space="0"/>
            </w:tcBorders>
            <w:noWrap w:val="0"/>
            <w:vAlign w:val="center"/>
          </w:tcPr>
          <w:p w14:paraId="3ED8ECE9">
            <w:pPr>
              <w:widowControl/>
              <w:jc w:val="center"/>
              <w:rPr>
                <w:rFonts w:ascii="宋体" w:hAnsi="宋体"/>
                <w:bCs/>
                <w:sz w:val="20"/>
                <w:szCs w:val="20"/>
              </w:rPr>
            </w:pPr>
            <w:r>
              <w:rPr>
                <w:rFonts w:ascii="宋体" w:hAnsi="宋体"/>
                <w:bCs/>
                <w:sz w:val="20"/>
                <w:szCs w:val="20"/>
                <w:lang w:bidi="ar"/>
              </w:rPr>
              <w:t>民用建筑物</w:t>
            </w:r>
          </w:p>
          <w:p w14:paraId="0CE49569">
            <w:pPr>
              <w:widowControl/>
              <w:jc w:val="center"/>
              <w:rPr>
                <w:rFonts w:ascii="宋体" w:hAnsi="宋体"/>
                <w:bCs/>
                <w:sz w:val="20"/>
                <w:szCs w:val="20"/>
              </w:rPr>
            </w:pPr>
            <w:r>
              <w:rPr>
                <w:rFonts w:ascii="宋体" w:hAnsi="宋体"/>
                <w:bCs/>
                <w:sz w:val="20"/>
                <w:szCs w:val="20"/>
                <w:lang w:bidi="ar"/>
              </w:rPr>
              <w:t>保护类别</w:t>
            </w:r>
          </w:p>
        </w:tc>
        <w:tc>
          <w:tcPr>
            <w:tcW w:w="3617" w:type="dxa"/>
            <w:tcBorders>
              <w:top w:val="single" w:color="auto" w:sz="6" w:space="0"/>
              <w:left w:val="single" w:color="auto" w:sz="6" w:space="0"/>
              <w:bottom w:val="single" w:color="auto" w:sz="6" w:space="0"/>
              <w:right w:val="single" w:color="auto" w:sz="6" w:space="0"/>
            </w:tcBorders>
            <w:noWrap w:val="0"/>
            <w:vAlign w:val="center"/>
          </w:tcPr>
          <w:p w14:paraId="3E703881">
            <w:pPr>
              <w:widowControl/>
              <w:jc w:val="center"/>
              <w:rPr>
                <w:rFonts w:ascii="宋体" w:hAnsi="宋体"/>
                <w:bCs/>
                <w:sz w:val="20"/>
                <w:szCs w:val="20"/>
              </w:rPr>
            </w:pPr>
            <w:r>
              <w:rPr>
                <w:rFonts w:ascii="宋体" w:hAnsi="宋体"/>
                <w:bCs/>
                <w:sz w:val="20"/>
                <w:szCs w:val="20"/>
                <w:lang w:bidi="ar"/>
              </w:rPr>
              <w:t>一类保护物</w:t>
            </w:r>
          </w:p>
        </w:tc>
        <w:tc>
          <w:tcPr>
            <w:tcW w:w="984" w:type="dxa"/>
            <w:vMerge w:val="continue"/>
            <w:tcBorders>
              <w:top w:val="single" w:color="auto" w:sz="6" w:space="0"/>
              <w:left w:val="single" w:color="auto" w:sz="6" w:space="0"/>
              <w:bottom w:val="single" w:color="auto" w:sz="6" w:space="0"/>
              <w:right w:val="single" w:color="auto" w:sz="6" w:space="0"/>
            </w:tcBorders>
            <w:noWrap w:val="0"/>
            <w:vAlign w:val="center"/>
          </w:tcPr>
          <w:p w14:paraId="5CFD7F15">
            <w:pPr>
              <w:rPr>
                <w:rFonts w:ascii="宋体" w:hAnsi="宋体"/>
                <w:sz w:val="20"/>
                <w:szCs w:val="20"/>
              </w:rPr>
            </w:pPr>
          </w:p>
        </w:tc>
        <w:tc>
          <w:tcPr>
            <w:tcW w:w="1001" w:type="dxa"/>
            <w:vMerge w:val="continue"/>
            <w:tcBorders>
              <w:top w:val="single" w:color="auto" w:sz="6" w:space="0"/>
              <w:left w:val="single" w:color="auto" w:sz="6" w:space="0"/>
              <w:bottom w:val="single" w:color="auto" w:sz="6" w:space="0"/>
              <w:right w:val="single" w:color="auto" w:sz="6" w:space="0"/>
            </w:tcBorders>
            <w:noWrap w:val="0"/>
            <w:vAlign w:val="center"/>
          </w:tcPr>
          <w:p w14:paraId="4393AFAA">
            <w:pPr>
              <w:rPr>
                <w:rFonts w:ascii="宋体" w:hAnsi="宋体"/>
                <w:sz w:val="20"/>
                <w:szCs w:val="20"/>
              </w:rPr>
            </w:pPr>
          </w:p>
        </w:tc>
        <w:tc>
          <w:tcPr>
            <w:tcW w:w="1809" w:type="dxa"/>
            <w:vMerge w:val="continue"/>
            <w:tcBorders>
              <w:top w:val="single" w:color="auto" w:sz="6" w:space="0"/>
              <w:left w:val="single" w:color="auto" w:sz="6" w:space="0"/>
              <w:bottom w:val="single" w:color="auto" w:sz="6" w:space="0"/>
              <w:right w:val="single" w:color="auto" w:sz="12" w:space="0"/>
            </w:tcBorders>
            <w:noWrap w:val="0"/>
            <w:vAlign w:val="center"/>
          </w:tcPr>
          <w:p w14:paraId="6C97A731">
            <w:pPr>
              <w:rPr>
                <w:rFonts w:ascii="宋体" w:hAnsi="宋体"/>
                <w:sz w:val="20"/>
                <w:szCs w:val="20"/>
              </w:rPr>
            </w:pPr>
          </w:p>
        </w:tc>
      </w:tr>
      <w:tr w14:paraId="0B086B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370" w:type="dxa"/>
            <w:gridSpan w:val="2"/>
            <w:vMerge w:val="continue"/>
            <w:tcBorders>
              <w:top w:val="single" w:color="auto" w:sz="6" w:space="0"/>
              <w:left w:val="single" w:color="auto" w:sz="12" w:space="0"/>
              <w:bottom w:val="single" w:color="auto" w:sz="6" w:space="0"/>
              <w:right w:val="single" w:color="auto" w:sz="6" w:space="0"/>
            </w:tcBorders>
            <w:noWrap w:val="0"/>
            <w:vAlign w:val="center"/>
          </w:tcPr>
          <w:p w14:paraId="2870FFE7">
            <w:pPr>
              <w:rPr>
                <w:rFonts w:ascii="宋体" w:hAnsi="宋体"/>
                <w:sz w:val="20"/>
                <w:szCs w:val="20"/>
              </w:rPr>
            </w:pPr>
          </w:p>
        </w:tc>
        <w:tc>
          <w:tcPr>
            <w:tcW w:w="3617" w:type="dxa"/>
            <w:tcBorders>
              <w:top w:val="single" w:color="auto" w:sz="6" w:space="0"/>
              <w:left w:val="single" w:color="auto" w:sz="6" w:space="0"/>
              <w:bottom w:val="single" w:color="auto" w:sz="6" w:space="0"/>
              <w:right w:val="single" w:color="auto" w:sz="6" w:space="0"/>
            </w:tcBorders>
            <w:noWrap w:val="0"/>
            <w:vAlign w:val="center"/>
          </w:tcPr>
          <w:p w14:paraId="4AA8597D">
            <w:pPr>
              <w:widowControl/>
              <w:jc w:val="center"/>
              <w:rPr>
                <w:rFonts w:ascii="宋体" w:hAnsi="宋体"/>
                <w:bCs/>
                <w:sz w:val="20"/>
                <w:szCs w:val="20"/>
              </w:rPr>
            </w:pPr>
            <w:r>
              <w:rPr>
                <w:rFonts w:ascii="宋体" w:hAnsi="宋体"/>
                <w:bCs/>
                <w:sz w:val="20"/>
                <w:szCs w:val="20"/>
                <w:lang w:bidi="ar"/>
              </w:rPr>
              <w:t>二类保护物</w:t>
            </w:r>
          </w:p>
        </w:tc>
        <w:tc>
          <w:tcPr>
            <w:tcW w:w="984" w:type="dxa"/>
            <w:tcBorders>
              <w:top w:val="single" w:color="auto" w:sz="6" w:space="0"/>
              <w:left w:val="single" w:color="auto" w:sz="6" w:space="0"/>
              <w:bottom w:val="single" w:color="auto" w:sz="6" w:space="0"/>
              <w:right w:val="single" w:color="auto" w:sz="6" w:space="0"/>
            </w:tcBorders>
            <w:noWrap w:val="0"/>
            <w:vAlign w:val="center"/>
          </w:tcPr>
          <w:p w14:paraId="7489D63C">
            <w:pPr>
              <w:widowControl/>
              <w:jc w:val="center"/>
              <w:rPr>
                <w:rFonts w:ascii="宋体" w:hAnsi="宋体"/>
                <w:bCs/>
                <w:sz w:val="20"/>
                <w:szCs w:val="20"/>
              </w:rPr>
            </w:pPr>
            <w:r>
              <w:rPr>
                <w:rFonts w:ascii="宋体" w:hAnsi="宋体"/>
                <w:bCs/>
                <w:sz w:val="20"/>
                <w:szCs w:val="20"/>
                <w:lang w:bidi="ar"/>
              </w:rPr>
              <w:t>20</w:t>
            </w:r>
          </w:p>
        </w:tc>
        <w:tc>
          <w:tcPr>
            <w:tcW w:w="1001" w:type="dxa"/>
            <w:tcBorders>
              <w:top w:val="single" w:color="auto" w:sz="6" w:space="0"/>
              <w:left w:val="single" w:color="auto" w:sz="6" w:space="0"/>
              <w:bottom w:val="single" w:color="auto" w:sz="6" w:space="0"/>
              <w:right w:val="single" w:color="auto" w:sz="6" w:space="0"/>
            </w:tcBorders>
            <w:noWrap w:val="0"/>
            <w:vAlign w:val="center"/>
          </w:tcPr>
          <w:p w14:paraId="404E4C84">
            <w:pPr>
              <w:widowControl/>
              <w:jc w:val="center"/>
              <w:rPr>
                <w:rFonts w:ascii="宋体" w:hAnsi="宋体"/>
                <w:bCs/>
                <w:sz w:val="20"/>
                <w:szCs w:val="20"/>
              </w:rPr>
            </w:pPr>
            <w:r>
              <w:rPr>
                <w:rFonts w:ascii="宋体" w:hAnsi="宋体"/>
                <w:bCs/>
                <w:sz w:val="20"/>
                <w:szCs w:val="20"/>
                <w:lang w:bidi="ar"/>
              </w:rPr>
              <w:t>20</w:t>
            </w:r>
          </w:p>
        </w:tc>
        <w:tc>
          <w:tcPr>
            <w:tcW w:w="1809" w:type="dxa"/>
            <w:tcBorders>
              <w:top w:val="single" w:color="auto" w:sz="6" w:space="0"/>
              <w:left w:val="single" w:color="auto" w:sz="6" w:space="0"/>
              <w:bottom w:val="single" w:color="auto" w:sz="6" w:space="0"/>
              <w:right w:val="single" w:color="auto" w:sz="12" w:space="0"/>
            </w:tcBorders>
            <w:noWrap w:val="0"/>
            <w:vAlign w:val="center"/>
          </w:tcPr>
          <w:p w14:paraId="4235B278">
            <w:pPr>
              <w:widowControl/>
              <w:jc w:val="center"/>
              <w:rPr>
                <w:rFonts w:ascii="宋体" w:hAnsi="宋体"/>
                <w:bCs/>
                <w:sz w:val="20"/>
                <w:szCs w:val="20"/>
              </w:rPr>
            </w:pPr>
            <w:r>
              <w:rPr>
                <w:rFonts w:ascii="宋体" w:hAnsi="宋体"/>
                <w:bCs/>
                <w:sz w:val="20"/>
                <w:szCs w:val="20"/>
                <w:lang w:bidi="ar"/>
              </w:rPr>
              <w:t>14</w:t>
            </w:r>
          </w:p>
        </w:tc>
      </w:tr>
      <w:tr w14:paraId="513E0F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370" w:type="dxa"/>
            <w:gridSpan w:val="2"/>
            <w:vMerge w:val="continue"/>
            <w:tcBorders>
              <w:top w:val="single" w:color="auto" w:sz="6" w:space="0"/>
              <w:left w:val="single" w:color="auto" w:sz="12" w:space="0"/>
              <w:bottom w:val="single" w:color="auto" w:sz="6" w:space="0"/>
              <w:right w:val="single" w:color="auto" w:sz="6" w:space="0"/>
            </w:tcBorders>
            <w:noWrap w:val="0"/>
            <w:vAlign w:val="center"/>
          </w:tcPr>
          <w:p w14:paraId="24877B80">
            <w:pPr>
              <w:rPr>
                <w:rFonts w:ascii="宋体" w:hAnsi="宋体"/>
                <w:sz w:val="20"/>
                <w:szCs w:val="20"/>
              </w:rPr>
            </w:pPr>
          </w:p>
        </w:tc>
        <w:tc>
          <w:tcPr>
            <w:tcW w:w="3617" w:type="dxa"/>
            <w:tcBorders>
              <w:top w:val="single" w:color="auto" w:sz="6" w:space="0"/>
              <w:left w:val="single" w:color="auto" w:sz="6" w:space="0"/>
              <w:bottom w:val="single" w:color="auto" w:sz="6" w:space="0"/>
              <w:right w:val="single" w:color="auto" w:sz="6" w:space="0"/>
            </w:tcBorders>
            <w:noWrap w:val="0"/>
            <w:vAlign w:val="center"/>
          </w:tcPr>
          <w:p w14:paraId="237A7CE3">
            <w:pPr>
              <w:widowControl/>
              <w:jc w:val="center"/>
              <w:rPr>
                <w:rFonts w:ascii="宋体" w:hAnsi="宋体"/>
                <w:bCs/>
                <w:sz w:val="20"/>
                <w:szCs w:val="20"/>
              </w:rPr>
            </w:pPr>
            <w:r>
              <w:rPr>
                <w:rFonts w:ascii="宋体" w:hAnsi="宋体"/>
                <w:bCs/>
                <w:sz w:val="20"/>
                <w:szCs w:val="20"/>
                <w:lang w:bidi="ar"/>
              </w:rPr>
              <w:t>三类保护物</w:t>
            </w:r>
          </w:p>
        </w:tc>
        <w:tc>
          <w:tcPr>
            <w:tcW w:w="984" w:type="dxa"/>
            <w:tcBorders>
              <w:top w:val="single" w:color="auto" w:sz="6" w:space="0"/>
              <w:left w:val="single" w:color="auto" w:sz="6" w:space="0"/>
              <w:bottom w:val="single" w:color="auto" w:sz="6" w:space="0"/>
              <w:right w:val="single" w:color="auto" w:sz="6" w:space="0"/>
            </w:tcBorders>
            <w:noWrap w:val="0"/>
            <w:vAlign w:val="center"/>
          </w:tcPr>
          <w:p w14:paraId="207C22F2">
            <w:pPr>
              <w:widowControl/>
              <w:jc w:val="center"/>
              <w:rPr>
                <w:rFonts w:ascii="宋体" w:hAnsi="宋体"/>
                <w:bCs/>
                <w:sz w:val="20"/>
                <w:szCs w:val="20"/>
              </w:rPr>
            </w:pPr>
            <w:r>
              <w:rPr>
                <w:rFonts w:ascii="宋体" w:hAnsi="宋体"/>
                <w:bCs/>
                <w:sz w:val="20"/>
                <w:szCs w:val="20"/>
                <w:lang w:bidi="ar"/>
              </w:rPr>
              <w:t>18</w:t>
            </w:r>
          </w:p>
        </w:tc>
        <w:tc>
          <w:tcPr>
            <w:tcW w:w="1001" w:type="dxa"/>
            <w:tcBorders>
              <w:top w:val="single" w:color="auto" w:sz="6" w:space="0"/>
              <w:left w:val="single" w:color="auto" w:sz="6" w:space="0"/>
              <w:bottom w:val="single" w:color="auto" w:sz="6" w:space="0"/>
              <w:right w:val="single" w:color="auto" w:sz="6" w:space="0"/>
            </w:tcBorders>
            <w:noWrap w:val="0"/>
            <w:vAlign w:val="center"/>
          </w:tcPr>
          <w:p w14:paraId="2AAEC438">
            <w:pPr>
              <w:widowControl/>
              <w:jc w:val="center"/>
              <w:rPr>
                <w:rFonts w:ascii="宋体" w:hAnsi="宋体"/>
                <w:bCs/>
                <w:sz w:val="20"/>
                <w:szCs w:val="20"/>
              </w:rPr>
            </w:pPr>
            <w:r>
              <w:rPr>
                <w:rFonts w:ascii="宋体" w:hAnsi="宋体"/>
                <w:bCs/>
                <w:sz w:val="20"/>
                <w:szCs w:val="20"/>
                <w:lang w:bidi="ar"/>
              </w:rPr>
              <w:t>15</w:t>
            </w:r>
          </w:p>
        </w:tc>
        <w:tc>
          <w:tcPr>
            <w:tcW w:w="1809" w:type="dxa"/>
            <w:tcBorders>
              <w:top w:val="single" w:color="auto" w:sz="6" w:space="0"/>
              <w:left w:val="single" w:color="auto" w:sz="6" w:space="0"/>
              <w:bottom w:val="single" w:color="auto" w:sz="6" w:space="0"/>
              <w:right w:val="single" w:color="auto" w:sz="12" w:space="0"/>
            </w:tcBorders>
            <w:noWrap w:val="0"/>
            <w:vAlign w:val="center"/>
          </w:tcPr>
          <w:p w14:paraId="6507CAFD">
            <w:pPr>
              <w:widowControl/>
              <w:jc w:val="center"/>
              <w:rPr>
                <w:rFonts w:ascii="宋体" w:hAnsi="宋体"/>
                <w:bCs/>
                <w:sz w:val="20"/>
                <w:szCs w:val="20"/>
              </w:rPr>
            </w:pPr>
            <w:r>
              <w:rPr>
                <w:rFonts w:ascii="宋体" w:hAnsi="宋体"/>
                <w:bCs/>
                <w:sz w:val="20"/>
                <w:szCs w:val="20"/>
                <w:lang w:bidi="ar"/>
              </w:rPr>
              <w:t>12</w:t>
            </w:r>
          </w:p>
        </w:tc>
      </w:tr>
      <w:tr w14:paraId="03346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14:paraId="7FB7B500">
            <w:pPr>
              <w:widowControl/>
              <w:jc w:val="center"/>
              <w:rPr>
                <w:rFonts w:ascii="宋体" w:hAnsi="宋体"/>
                <w:bCs/>
                <w:sz w:val="20"/>
                <w:szCs w:val="20"/>
              </w:rPr>
            </w:pPr>
            <w:r>
              <w:rPr>
                <w:rFonts w:ascii="宋体" w:hAnsi="宋体"/>
                <w:bCs/>
                <w:sz w:val="20"/>
                <w:szCs w:val="20"/>
                <w:lang w:bidi="ar"/>
              </w:rPr>
              <w:t>甲、乙类物品生产厂房、 库房和甲、乙类液体储罐</w:t>
            </w:r>
          </w:p>
        </w:tc>
        <w:tc>
          <w:tcPr>
            <w:tcW w:w="984" w:type="dxa"/>
            <w:tcBorders>
              <w:top w:val="single" w:color="auto" w:sz="6" w:space="0"/>
              <w:left w:val="single" w:color="auto" w:sz="6" w:space="0"/>
              <w:bottom w:val="single" w:color="auto" w:sz="6" w:space="0"/>
              <w:right w:val="single" w:color="auto" w:sz="6" w:space="0"/>
            </w:tcBorders>
            <w:noWrap w:val="0"/>
            <w:vAlign w:val="center"/>
          </w:tcPr>
          <w:p w14:paraId="5E106E93">
            <w:pPr>
              <w:widowControl/>
              <w:jc w:val="center"/>
              <w:rPr>
                <w:rFonts w:ascii="宋体" w:hAnsi="宋体"/>
                <w:bCs/>
                <w:sz w:val="20"/>
                <w:szCs w:val="20"/>
              </w:rPr>
            </w:pPr>
            <w:r>
              <w:rPr>
                <w:rFonts w:ascii="宋体" w:hAnsi="宋体"/>
                <w:bCs/>
                <w:sz w:val="20"/>
                <w:szCs w:val="20"/>
                <w:lang w:bidi="ar"/>
              </w:rPr>
              <w:t>25</w:t>
            </w:r>
          </w:p>
        </w:tc>
        <w:tc>
          <w:tcPr>
            <w:tcW w:w="1001" w:type="dxa"/>
            <w:tcBorders>
              <w:top w:val="single" w:color="auto" w:sz="6" w:space="0"/>
              <w:left w:val="single" w:color="auto" w:sz="6" w:space="0"/>
              <w:bottom w:val="single" w:color="auto" w:sz="6" w:space="0"/>
              <w:right w:val="single" w:color="auto" w:sz="6" w:space="0"/>
            </w:tcBorders>
            <w:noWrap w:val="0"/>
            <w:vAlign w:val="center"/>
          </w:tcPr>
          <w:p w14:paraId="0ECFB308">
            <w:pPr>
              <w:widowControl/>
              <w:jc w:val="center"/>
              <w:rPr>
                <w:rFonts w:ascii="宋体" w:hAnsi="宋体"/>
                <w:bCs/>
                <w:sz w:val="20"/>
                <w:szCs w:val="20"/>
              </w:rPr>
            </w:pPr>
            <w:r>
              <w:rPr>
                <w:rFonts w:ascii="宋体" w:hAnsi="宋体"/>
                <w:bCs/>
                <w:sz w:val="20"/>
                <w:szCs w:val="20"/>
                <w:lang w:bidi="ar"/>
              </w:rPr>
              <w:t>25</w:t>
            </w:r>
          </w:p>
        </w:tc>
        <w:tc>
          <w:tcPr>
            <w:tcW w:w="1809" w:type="dxa"/>
            <w:tcBorders>
              <w:top w:val="single" w:color="auto" w:sz="6" w:space="0"/>
              <w:left w:val="single" w:color="auto" w:sz="6" w:space="0"/>
              <w:bottom w:val="single" w:color="auto" w:sz="6" w:space="0"/>
              <w:right w:val="single" w:color="auto" w:sz="12" w:space="0"/>
            </w:tcBorders>
            <w:noWrap w:val="0"/>
            <w:vAlign w:val="center"/>
          </w:tcPr>
          <w:p w14:paraId="4F5AE372">
            <w:pPr>
              <w:widowControl/>
              <w:jc w:val="center"/>
              <w:rPr>
                <w:rFonts w:ascii="宋体" w:hAnsi="宋体"/>
                <w:bCs/>
                <w:sz w:val="20"/>
                <w:szCs w:val="20"/>
              </w:rPr>
            </w:pPr>
            <w:r>
              <w:rPr>
                <w:rFonts w:ascii="宋体" w:hAnsi="宋体"/>
                <w:bCs/>
                <w:sz w:val="20"/>
                <w:szCs w:val="20"/>
                <w:lang w:bidi="ar"/>
              </w:rPr>
              <w:t>18</w:t>
            </w:r>
          </w:p>
        </w:tc>
      </w:tr>
      <w:tr w14:paraId="1D82F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14:paraId="33D407E0">
            <w:pPr>
              <w:widowControl/>
              <w:rPr>
                <w:rFonts w:ascii="宋体" w:hAnsi="宋体"/>
                <w:bCs/>
                <w:sz w:val="20"/>
                <w:szCs w:val="20"/>
              </w:rPr>
            </w:pPr>
            <w:r>
              <w:rPr>
                <w:rFonts w:ascii="宋体" w:hAnsi="宋体"/>
                <w:bCs/>
                <w:sz w:val="20"/>
                <w:szCs w:val="20"/>
                <w:lang w:bidi="ar"/>
              </w:rPr>
              <w:t>丙、丁、戊类物品生产厂房、库房和丙类液体储罐以及容积不大于50m3的埋地甲、乙类液体储罐</w:t>
            </w:r>
          </w:p>
        </w:tc>
        <w:tc>
          <w:tcPr>
            <w:tcW w:w="984" w:type="dxa"/>
            <w:tcBorders>
              <w:top w:val="single" w:color="auto" w:sz="6" w:space="0"/>
              <w:left w:val="single" w:color="auto" w:sz="6" w:space="0"/>
              <w:bottom w:val="single" w:color="auto" w:sz="6" w:space="0"/>
              <w:right w:val="single" w:color="auto" w:sz="6" w:space="0"/>
            </w:tcBorders>
            <w:noWrap w:val="0"/>
            <w:vAlign w:val="center"/>
          </w:tcPr>
          <w:p w14:paraId="4FC74794">
            <w:pPr>
              <w:widowControl/>
              <w:jc w:val="center"/>
              <w:rPr>
                <w:rFonts w:ascii="宋体" w:hAnsi="宋体"/>
                <w:bCs/>
                <w:sz w:val="20"/>
                <w:szCs w:val="20"/>
              </w:rPr>
            </w:pPr>
            <w:r>
              <w:rPr>
                <w:rFonts w:ascii="宋体" w:hAnsi="宋体"/>
                <w:bCs/>
                <w:sz w:val="20"/>
                <w:szCs w:val="20"/>
                <w:lang w:bidi="ar"/>
              </w:rPr>
              <w:t>18</w:t>
            </w:r>
          </w:p>
        </w:tc>
        <w:tc>
          <w:tcPr>
            <w:tcW w:w="1001" w:type="dxa"/>
            <w:tcBorders>
              <w:top w:val="single" w:color="auto" w:sz="6" w:space="0"/>
              <w:left w:val="single" w:color="auto" w:sz="6" w:space="0"/>
              <w:bottom w:val="single" w:color="auto" w:sz="6" w:space="0"/>
              <w:right w:val="single" w:color="auto" w:sz="6" w:space="0"/>
            </w:tcBorders>
            <w:noWrap w:val="0"/>
            <w:vAlign w:val="center"/>
          </w:tcPr>
          <w:p w14:paraId="6A853EE2">
            <w:pPr>
              <w:widowControl/>
              <w:jc w:val="center"/>
              <w:rPr>
                <w:rFonts w:ascii="宋体" w:hAnsi="宋体"/>
                <w:bCs/>
                <w:sz w:val="20"/>
                <w:szCs w:val="20"/>
              </w:rPr>
            </w:pPr>
            <w:r>
              <w:rPr>
                <w:rFonts w:ascii="宋体" w:hAnsi="宋体"/>
                <w:bCs/>
                <w:sz w:val="20"/>
                <w:szCs w:val="20"/>
                <w:lang w:bidi="ar"/>
              </w:rPr>
              <w:t>18</w:t>
            </w:r>
          </w:p>
        </w:tc>
        <w:tc>
          <w:tcPr>
            <w:tcW w:w="1809" w:type="dxa"/>
            <w:tcBorders>
              <w:top w:val="single" w:color="auto" w:sz="6" w:space="0"/>
              <w:left w:val="single" w:color="auto" w:sz="6" w:space="0"/>
              <w:bottom w:val="single" w:color="auto" w:sz="6" w:space="0"/>
              <w:right w:val="single" w:color="auto" w:sz="12" w:space="0"/>
            </w:tcBorders>
            <w:noWrap w:val="0"/>
            <w:vAlign w:val="center"/>
          </w:tcPr>
          <w:p w14:paraId="1FC79953">
            <w:pPr>
              <w:widowControl/>
              <w:jc w:val="center"/>
              <w:rPr>
                <w:rFonts w:ascii="宋体" w:hAnsi="宋体"/>
                <w:bCs/>
                <w:sz w:val="20"/>
                <w:szCs w:val="20"/>
              </w:rPr>
            </w:pPr>
            <w:r>
              <w:rPr>
                <w:rFonts w:ascii="宋体" w:hAnsi="宋体"/>
                <w:bCs/>
                <w:sz w:val="20"/>
                <w:szCs w:val="20"/>
                <w:lang w:bidi="ar"/>
              </w:rPr>
              <w:t>13</w:t>
            </w:r>
          </w:p>
        </w:tc>
      </w:tr>
      <w:tr w14:paraId="746C5B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14:paraId="0E693351">
            <w:pPr>
              <w:widowControl/>
              <w:jc w:val="center"/>
              <w:rPr>
                <w:rFonts w:ascii="宋体" w:hAnsi="宋体"/>
                <w:bCs/>
                <w:sz w:val="20"/>
                <w:szCs w:val="20"/>
              </w:rPr>
            </w:pPr>
            <w:r>
              <w:rPr>
                <w:rFonts w:ascii="宋体" w:hAnsi="宋体"/>
                <w:bCs/>
                <w:sz w:val="20"/>
                <w:szCs w:val="20"/>
                <w:lang w:bidi="ar"/>
              </w:rPr>
              <w:t>室外变配电站</w:t>
            </w:r>
          </w:p>
        </w:tc>
        <w:tc>
          <w:tcPr>
            <w:tcW w:w="984" w:type="dxa"/>
            <w:tcBorders>
              <w:top w:val="single" w:color="auto" w:sz="6" w:space="0"/>
              <w:left w:val="single" w:color="auto" w:sz="6" w:space="0"/>
              <w:bottom w:val="single" w:color="auto" w:sz="6" w:space="0"/>
              <w:right w:val="single" w:color="auto" w:sz="6" w:space="0"/>
            </w:tcBorders>
            <w:noWrap w:val="0"/>
            <w:vAlign w:val="center"/>
          </w:tcPr>
          <w:p w14:paraId="0E968C1A">
            <w:pPr>
              <w:widowControl/>
              <w:jc w:val="center"/>
              <w:rPr>
                <w:rFonts w:ascii="宋体" w:hAnsi="宋体"/>
                <w:bCs/>
                <w:sz w:val="20"/>
                <w:szCs w:val="20"/>
              </w:rPr>
            </w:pPr>
            <w:r>
              <w:rPr>
                <w:rFonts w:ascii="宋体" w:hAnsi="宋体"/>
                <w:bCs/>
                <w:sz w:val="20"/>
                <w:szCs w:val="20"/>
                <w:lang w:bidi="ar"/>
              </w:rPr>
              <w:t>25</w:t>
            </w:r>
          </w:p>
        </w:tc>
        <w:tc>
          <w:tcPr>
            <w:tcW w:w="1001" w:type="dxa"/>
            <w:tcBorders>
              <w:top w:val="single" w:color="auto" w:sz="6" w:space="0"/>
              <w:left w:val="single" w:color="auto" w:sz="6" w:space="0"/>
              <w:bottom w:val="single" w:color="auto" w:sz="6" w:space="0"/>
              <w:right w:val="single" w:color="auto" w:sz="6" w:space="0"/>
            </w:tcBorders>
            <w:noWrap w:val="0"/>
            <w:vAlign w:val="center"/>
          </w:tcPr>
          <w:p w14:paraId="70B46BD4">
            <w:pPr>
              <w:widowControl/>
              <w:jc w:val="center"/>
              <w:rPr>
                <w:rFonts w:ascii="宋体" w:hAnsi="宋体"/>
                <w:bCs/>
                <w:sz w:val="20"/>
                <w:szCs w:val="20"/>
              </w:rPr>
            </w:pPr>
            <w:r>
              <w:rPr>
                <w:rFonts w:ascii="宋体" w:hAnsi="宋体"/>
                <w:bCs/>
                <w:sz w:val="20"/>
                <w:szCs w:val="20"/>
                <w:lang w:bidi="ar"/>
              </w:rPr>
              <w:t>25</w:t>
            </w:r>
          </w:p>
        </w:tc>
        <w:tc>
          <w:tcPr>
            <w:tcW w:w="1809" w:type="dxa"/>
            <w:tcBorders>
              <w:top w:val="single" w:color="auto" w:sz="6" w:space="0"/>
              <w:left w:val="single" w:color="auto" w:sz="6" w:space="0"/>
              <w:bottom w:val="single" w:color="auto" w:sz="6" w:space="0"/>
              <w:right w:val="single" w:color="auto" w:sz="12" w:space="0"/>
            </w:tcBorders>
            <w:noWrap w:val="0"/>
            <w:vAlign w:val="center"/>
          </w:tcPr>
          <w:p w14:paraId="75B7B9CA">
            <w:pPr>
              <w:widowControl/>
              <w:jc w:val="center"/>
              <w:rPr>
                <w:rFonts w:ascii="宋体" w:hAnsi="宋体"/>
                <w:bCs/>
                <w:sz w:val="20"/>
                <w:szCs w:val="20"/>
              </w:rPr>
            </w:pPr>
            <w:r>
              <w:rPr>
                <w:rFonts w:ascii="宋体" w:hAnsi="宋体"/>
                <w:bCs/>
                <w:sz w:val="20"/>
                <w:szCs w:val="20"/>
                <w:lang w:bidi="ar"/>
              </w:rPr>
              <w:t>18</w:t>
            </w:r>
          </w:p>
        </w:tc>
      </w:tr>
      <w:tr w14:paraId="3FCB5B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14:paraId="1349F9FB">
            <w:pPr>
              <w:widowControl/>
              <w:jc w:val="center"/>
              <w:rPr>
                <w:rFonts w:ascii="宋体" w:hAnsi="宋体"/>
                <w:bCs/>
                <w:sz w:val="20"/>
                <w:szCs w:val="20"/>
              </w:rPr>
            </w:pPr>
            <w:r>
              <w:rPr>
                <w:rFonts w:ascii="宋体" w:hAnsi="宋体"/>
                <w:bCs/>
                <w:sz w:val="20"/>
                <w:szCs w:val="20"/>
                <w:lang w:bidi="ar"/>
              </w:rPr>
              <w:t>铁</w:t>
            </w:r>
            <w:r>
              <w:rPr>
                <w:rFonts w:hint="eastAsia" w:ascii="宋体" w:hAnsi="宋体"/>
                <w:bCs/>
                <w:sz w:val="20"/>
                <w:szCs w:val="20"/>
                <w:lang w:bidi="ar"/>
              </w:rPr>
              <w:t xml:space="preserve">  </w:t>
            </w:r>
            <w:r>
              <w:rPr>
                <w:rFonts w:ascii="宋体" w:hAnsi="宋体"/>
                <w:bCs/>
                <w:sz w:val="20"/>
                <w:szCs w:val="20"/>
                <w:lang w:bidi="ar"/>
              </w:rPr>
              <w:t>路</w:t>
            </w:r>
          </w:p>
        </w:tc>
        <w:tc>
          <w:tcPr>
            <w:tcW w:w="984" w:type="dxa"/>
            <w:tcBorders>
              <w:top w:val="single" w:color="auto" w:sz="6" w:space="0"/>
              <w:left w:val="single" w:color="auto" w:sz="6" w:space="0"/>
              <w:bottom w:val="single" w:color="auto" w:sz="6" w:space="0"/>
              <w:right w:val="single" w:color="auto" w:sz="6" w:space="0"/>
            </w:tcBorders>
            <w:noWrap w:val="0"/>
            <w:vAlign w:val="center"/>
          </w:tcPr>
          <w:p w14:paraId="1E6566AE">
            <w:pPr>
              <w:widowControl/>
              <w:jc w:val="center"/>
              <w:rPr>
                <w:rFonts w:ascii="宋体" w:hAnsi="宋体"/>
                <w:bCs/>
                <w:sz w:val="20"/>
                <w:szCs w:val="20"/>
              </w:rPr>
            </w:pPr>
            <w:r>
              <w:rPr>
                <w:rFonts w:ascii="宋体" w:hAnsi="宋体"/>
                <w:bCs/>
                <w:sz w:val="20"/>
                <w:szCs w:val="20"/>
                <w:lang w:bidi="ar"/>
              </w:rPr>
              <w:t>30</w:t>
            </w:r>
          </w:p>
        </w:tc>
        <w:tc>
          <w:tcPr>
            <w:tcW w:w="1001" w:type="dxa"/>
            <w:tcBorders>
              <w:top w:val="single" w:color="auto" w:sz="6" w:space="0"/>
              <w:left w:val="single" w:color="auto" w:sz="6" w:space="0"/>
              <w:bottom w:val="single" w:color="auto" w:sz="6" w:space="0"/>
              <w:right w:val="single" w:color="auto" w:sz="6" w:space="0"/>
            </w:tcBorders>
            <w:noWrap w:val="0"/>
            <w:vAlign w:val="center"/>
          </w:tcPr>
          <w:p w14:paraId="197A2363">
            <w:pPr>
              <w:widowControl/>
              <w:jc w:val="center"/>
              <w:rPr>
                <w:rFonts w:ascii="宋体" w:hAnsi="宋体"/>
                <w:bCs/>
                <w:sz w:val="20"/>
                <w:szCs w:val="20"/>
              </w:rPr>
            </w:pPr>
            <w:r>
              <w:rPr>
                <w:rFonts w:ascii="宋体" w:hAnsi="宋体"/>
                <w:bCs/>
                <w:sz w:val="20"/>
                <w:szCs w:val="20"/>
                <w:lang w:bidi="ar"/>
              </w:rPr>
              <w:t>30</w:t>
            </w:r>
          </w:p>
        </w:tc>
        <w:tc>
          <w:tcPr>
            <w:tcW w:w="1809" w:type="dxa"/>
            <w:tcBorders>
              <w:top w:val="single" w:color="auto" w:sz="6" w:space="0"/>
              <w:left w:val="single" w:color="auto" w:sz="6" w:space="0"/>
              <w:bottom w:val="single" w:color="auto" w:sz="6" w:space="0"/>
              <w:right w:val="single" w:color="auto" w:sz="12" w:space="0"/>
            </w:tcBorders>
            <w:noWrap w:val="0"/>
            <w:vAlign w:val="center"/>
          </w:tcPr>
          <w:p w14:paraId="5562E739">
            <w:pPr>
              <w:widowControl/>
              <w:jc w:val="center"/>
              <w:rPr>
                <w:rFonts w:ascii="宋体" w:hAnsi="宋体"/>
                <w:bCs/>
                <w:sz w:val="20"/>
                <w:szCs w:val="20"/>
              </w:rPr>
            </w:pPr>
            <w:r>
              <w:rPr>
                <w:rFonts w:ascii="宋体" w:hAnsi="宋体"/>
                <w:bCs/>
                <w:sz w:val="20"/>
                <w:szCs w:val="20"/>
                <w:lang w:bidi="ar"/>
              </w:rPr>
              <w:t>22</w:t>
            </w:r>
          </w:p>
        </w:tc>
      </w:tr>
      <w:tr w14:paraId="220DA5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Merge w:val="restart"/>
            <w:tcBorders>
              <w:top w:val="single" w:color="auto" w:sz="6" w:space="0"/>
              <w:left w:val="single" w:color="auto" w:sz="12" w:space="0"/>
              <w:bottom w:val="single" w:color="auto" w:sz="6" w:space="0"/>
              <w:right w:val="single" w:color="auto" w:sz="6" w:space="0"/>
            </w:tcBorders>
            <w:noWrap w:val="0"/>
            <w:vAlign w:val="center"/>
          </w:tcPr>
          <w:p w14:paraId="7C16195A">
            <w:pPr>
              <w:widowControl/>
              <w:jc w:val="center"/>
              <w:rPr>
                <w:rFonts w:ascii="宋体" w:hAnsi="宋体"/>
                <w:bCs/>
                <w:sz w:val="20"/>
                <w:szCs w:val="20"/>
              </w:rPr>
            </w:pPr>
            <w:r>
              <w:rPr>
                <w:rFonts w:ascii="宋体" w:hAnsi="宋体"/>
                <w:bCs/>
                <w:sz w:val="20"/>
                <w:szCs w:val="20"/>
                <w:lang w:bidi="ar"/>
              </w:rPr>
              <w:t>城市道路</w:t>
            </w:r>
          </w:p>
        </w:tc>
        <w:tc>
          <w:tcPr>
            <w:tcW w:w="3847" w:type="dxa"/>
            <w:gridSpan w:val="2"/>
            <w:tcBorders>
              <w:top w:val="single" w:color="auto" w:sz="6" w:space="0"/>
              <w:left w:val="single" w:color="auto" w:sz="6" w:space="0"/>
              <w:bottom w:val="single" w:color="auto" w:sz="6" w:space="0"/>
              <w:right w:val="single" w:color="auto" w:sz="6" w:space="0"/>
            </w:tcBorders>
            <w:noWrap w:val="0"/>
            <w:vAlign w:val="center"/>
          </w:tcPr>
          <w:p w14:paraId="651764A0">
            <w:pPr>
              <w:widowControl/>
              <w:jc w:val="center"/>
              <w:rPr>
                <w:rFonts w:ascii="宋体" w:hAnsi="宋体"/>
                <w:bCs/>
                <w:sz w:val="20"/>
                <w:szCs w:val="20"/>
              </w:rPr>
            </w:pPr>
            <w:r>
              <w:rPr>
                <w:rFonts w:ascii="宋体" w:hAnsi="宋体"/>
                <w:bCs/>
                <w:sz w:val="20"/>
                <w:szCs w:val="20"/>
                <w:lang w:bidi="ar"/>
              </w:rPr>
              <w:t>快速路、主干路</w:t>
            </w:r>
          </w:p>
        </w:tc>
        <w:tc>
          <w:tcPr>
            <w:tcW w:w="984" w:type="dxa"/>
            <w:tcBorders>
              <w:top w:val="single" w:color="auto" w:sz="6" w:space="0"/>
              <w:left w:val="single" w:color="auto" w:sz="6" w:space="0"/>
              <w:bottom w:val="single" w:color="auto" w:sz="6" w:space="0"/>
              <w:right w:val="single" w:color="auto" w:sz="6" w:space="0"/>
            </w:tcBorders>
            <w:noWrap w:val="0"/>
            <w:vAlign w:val="center"/>
          </w:tcPr>
          <w:p w14:paraId="34E10B71">
            <w:pPr>
              <w:widowControl/>
              <w:jc w:val="center"/>
              <w:rPr>
                <w:rFonts w:ascii="宋体" w:hAnsi="宋体"/>
                <w:bCs/>
                <w:sz w:val="20"/>
                <w:szCs w:val="20"/>
              </w:rPr>
            </w:pPr>
            <w:r>
              <w:rPr>
                <w:rFonts w:ascii="宋体" w:hAnsi="宋体"/>
                <w:bCs/>
                <w:sz w:val="20"/>
                <w:szCs w:val="20"/>
                <w:lang w:bidi="ar"/>
              </w:rPr>
              <w:t>12</w:t>
            </w:r>
          </w:p>
        </w:tc>
        <w:tc>
          <w:tcPr>
            <w:tcW w:w="1001" w:type="dxa"/>
            <w:tcBorders>
              <w:top w:val="single" w:color="auto" w:sz="6" w:space="0"/>
              <w:left w:val="single" w:color="auto" w:sz="6" w:space="0"/>
              <w:bottom w:val="single" w:color="auto" w:sz="6" w:space="0"/>
              <w:right w:val="single" w:color="auto" w:sz="6" w:space="0"/>
            </w:tcBorders>
            <w:noWrap w:val="0"/>
            <w:vAlign w:val="center"/>
          </w:tcPr>
          <w:p w14:paraId="72C39836">
            <w:pPr>
              <w:widowControl/>
              <w:jc w:val="center"/>
              <w:rPr>
                <w:rFonts w:ascii="宋体" w:hAnsi="宋体"/>
                <w:bCs/>
                <w:sz w:val="20"/>
                <w:szCs w:val="20"/>
              </w:rPr>
            </w:pPr>
            <w:r>
              <w:rPr>
                <w:rFonts w:ascii="宋体" w:hAnsi="宋体"/>
                <w:bCs/>
                <w:sz w:val="20"/>
                <w:szCs w:val="20"/>
                <w:lang w:bidi="ar"/>
              </w:rPr>
              <w:t>10</w:t>
            </w:r>
          </w:p>
        </w:tc>
        <w:tc>
          <w:tcPr>
            <w:tcW w:w="1809" w:type="dxa"/>
            <w:tcBorders>
              <w:top w:val="single" w:color="auto" w:sz="6" w:space="0"/>
              <w:left w:val="single" w:color="auto" w:sz="6" w:space="0"/>
              <w:bottom w:val="single" w:color="auto" w:sz="6" w:space="0"/>
              <w:right w:val="single" w:color="auto" w:sz="12" w:space="0"/>
            </w:tcBorders>
            <w:noWrap w:val="0"/>
            <w:vAlign w:val="center"/>
          </w:tcPr>
          <w:p w14:paraId="634A805A">
            <w:pPr>
              <w:widowControl/>
              <w:jc w:val="center"/>
              <w:rPr>
                <w:rFonts w:ascii="宋体" w:hAnsi="宋体"/>
                <w:bCs/>
                <w:sz w:val="20"/>
                <w:szCs w:val="20"/>
              </w:rPr>
            </w:pPr>
            <w:r>
              <w:rPr>
                <w:rFonts w:ascii="宋体" w:hAnsi="宋体"/>
                <w:bCs/>
                <w:sz w:val="20"/>
                <w:szCs w:val="20"/>
                <w:lang w:bidi="ar"/>
              </w:rPr>
              <w:t>6</w:t>
            </w:r>
          </w:p>
        </w:tc>
      </w:tr>
      <w:tr w14:paraId="2704B1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Merge w:val="continue"/>
            <w:tcBorders>
              <w:top w:val="single" w:color="auto" w:sz="6" w:space="0"/>
              <w:left w:val="single" w:color="auto" w:sz="12" w:space="0"/>
              <w:bottom w:val="single" w:color="auto" w:sz="6" w:space="0"/>
              <w:right w:val="single" w:color="auto" w:sz="6" w:space="0"/>
            </w:tcBorders>
            <w:noWrap w:val="0"/>
            <w:vAlign w:val="center"/>
          </w:tcPr>
          <w:p w14:paraId="3B0FDBB7">
            <w:pPr>
              <w:rPr>
                <w:rFonts w:ascii="宋体" w:hAnsi="宋体"/>
                <w:sz w:val="20"/>
                <w:szCs w:val="20"/>
              </w:rPr>
            </w:pPr>
          </w:p>
        </w:tc>
        <w:tc>
          <w:tcPr>
            <w:tcW w:w="3847" w:type="dxa"/>
            <w:gridSpan w:val="2"/>
            <w:tcBorders>
              <w:top w:val="single" w:color="auto" w:sz="6" w:space="0"/>
              <w:left w:val="single" w:color="auto" w:sz="6" w:space="0"/>
              <w:bottom w:val="single" w:color="auto" w:sz="6" w:space="0"/>
              <w:right w:val="single" w:color="auto" w:sz="6" w:space="0"/>
            </w:tcBorders>
            <w:noWrap w:val="0"/>
            <w:vAlign w:val="center"/>
          </w:tcPr>
          <w:p w14:paraId="2BBF80B4">
            <w:pPr>
              <w:widowControl/>
              <w:jc w:val="center"/>
              <w:rPr>
                <w:rFonts w:ascii="宋体" w:hAnsi="宋体"/>
                <w:bCs/>
                <w:sz w:val="20"/>
                <w:szCs w:val="20"/>
              </w:rPr>
            </w:pPr>
            <w:r>
              <w:rPr>
                <w:rFonts w:ascii="宋体" w:hAnsi="宋体"/>
                <w:bCs/>
                <w:sz w:val="20"/>
                <w:szCs w:val="20"/>
                <w:lang w:bidi="ar"/>
              </w:rPr>
              <w:t>次干路、支路</w:t>
            </w:r>
          </w:p>
        </w:tc>
        <w:tc>
          <w:tcPr>
            <w:tcW w:w="984" w:type="dxa"/>
            <w:tcBorders>
              <w:top w:val="single" w:color="auto" w:sz="6" w:space="0"/>
              <w:left w:val="single" w:color="auto" w:sz="6" w:space="0"/>
              <w:bottom w:val="single" w:color="auto" w:sz="6" w:space="0"/>
              <w:right w:val="single" w:color="auto" w:sz="6" w:space="0"/>
            </w:tcBorders>
            <w:noWrap w:val="0"/>
            <w:vAlign w:val="center"/>
          </w:tcPr>
          <w:p w14:paraId="0A0E598E">
            <w:pPr>
              <w:widowControl/>
              <w:jc w:val="center"/>
              <w:rPr>
                <w:rFonts w:ascii="宋体" w:hAnsi="宋体"/>
                <w:bCs/>
                <w:sz w:val="20"/>
                <w:szCs w:val="20"/>
              </w:rPr>
            </w:pPr>
            <w:r>
              <w:rPr>
                <w:rFonts w:ascii="宋体" w:hAnsi="宋体"/>
                <w:bCs/>
                <w:sz w:val="20"/>
                <w:szCs w:val="20"/>
                <w:lang w:bidi="ar"/>
              </w:rPr>
              <w:t>10</w:t>
            </w:r>
          </w:p>
        </w:tc>
        <w:tc>
          <w:tcPr>
            <w:tcW w:w="1001" w:type="dxa"/>
            <w:tcBorders>
              <w:top w:val="single" w:color="auto" w:sz="6" w:space="0"/>
              <w:left w:val="single" w:color="auto" w:sz="6" w:space="0"/>
              <w:bottom w:val="single" w:color="auto" w:sz="6" w:space="0"/>
              <w:right w:val="single" w:color="auto" w:sz="6" w:space="0"/>
            </w:tcBorders>
            <w:noWrap w:val="0"/>
            <w:vAlign w:val="center"/>
          </w:tcPr>
          <w:p w14:paraId="44BCF7FF">
            <w:pPr>
              <w:widowControl/>
              <w:jc w:val="center"/>
              <w:rPr>
                <w:rFonts w:ascii="宋体" w:hAnsi="宋体"/>
                <w:bCs/>
                <w:sz w:val="20"/>
                <w:szCs w:val="20"/>
              </w:rPr>
            </w:pPr>
            <w:r>
              <w:rPr>
                <w:rFonts w:ascii="宋体" w:hAnsi="宋体"/>
                <w:bCs/>
                <w:sz w:val="20"/>
                <w:szCs w:val="20"/>
                <w:lang w:bidi="ar"/>
              </w:rPr>
              <w:t>8</w:t>
            </w:r>
          </w:p>
        </w:tc>
        <w:tc>
          <w:tcPr>
            <w:tcW w:w="1809" w:type="dxa"/>
            <w:tcBorders>
              <w:top w:val="single" w:color="auto" w:sz="6" w:space="0"/>
              <w:left w:val="single" w:color="auto" w:sz="6" w:space="0"/>
              <w:bottom w:val="single" w:color="auto" w:sz="6" w:space="0"/>
              <w:right w:val="single" w:color="auto" w:sz="12" w:space="0"/>
            </w:tcBorders>
            <w:noWrap w:val="0"/>
            <w:vAlign w:val="center"/>
          </w:tcPr>
          <w:p w14:paraId="15230D37">
            <w:pPr>
              <w:widowControl/>
              <w:jc w:val="center"/>
              <w:rPr>
                <w:rFonts w:ascii="宋体" w:hAnsi="宋体"/>
                <w:bCs/>
                <w:sz w:val="20"/>
                <w:szCs w:val="20"/>
              </w:rPr>
            </w:pPr>
            <w:r>
              <w:rPr>
                <w:rFonts w:ascii="宋体" w:hAnsi="宋体"/>
                <w:bCs/>
                <w:sz w:val="20"/>
                <w:szCs w:val="20"/>
                <w:lang w:bidi="ar"/>
              </w:rPr>
              <w:t>5</w:t>
            </w:r>
          </w:p>
        </w:tc>
      </w:tr>
      <w:tr w14:paraId="621BF8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14:paraId="4D4F145A">
            <w:pPr>
              <w:widowControl/>
              <w:jc w:val="center"/>
              <w:rPr>
                <w:rFonts w:ascii="宋体" w:hAnsi="宋体"/>
                <w:bCs/>
                <w:sz w:val="20"/>
                <w:szCs w:val="20"/>
              </w:rPr>
            </w:pPr>
            <w:r>
              <w:rPr>
                <w:rFonts w:ascii="宋体" w:hAnsi="宋体"/>
                <w:bCs/>
                <w:sz w:val="20"/>
                <w:szCs w:val="20"/>
                <w:lang w:bidi="ar"/>
              </w:rPr>
              <w:t>架空通信线和通信发射塔</w:t>
            </w:r>
          </w:p>
        </w:tc>
        <w:tc>
          <w:tcPr>
            <w:tcW w:w="984" w:type="dxa"/>
            <w:tcBorders>
              <w:top w:val="single" w:color="auto" w:sz="6" w:space="0"/>
              <w:left w:val="single" w:color="auto" w:sz="6" w:space="0"/>
              <w:bottom w:val="single" w:color="auto" w:sz="6" w:space="0"/>
              <w:right w:val="single" w:color="auto" w:sz="6" w:space="0"/>
            </w:tcBorders>
            <w:noWrap w:val="0"/>
            <w:vAlign w:val="center"/>
          </w:tcPr>
          <w:p w14:paraId="66A746B3">
            <w:pPr>
              <w:widowControl/>
              <w:jc w:val="center"/>
              <w:rPr>
                <w:rFonts w:ascii="宋体" w:hAnsi="宋体"/>
                <w:bCs/>
                <w:sz w:val="20"/>
                <w:szCs w:val="20"/>
              </w:rPr>
            </w:pPr>
            <w:r>
              <w:rPr>
                <w:rFonts w:ascii="宋体" w:hAnsi="宋体"/>
                <w:bCs/>
                <w:sz w:val="20"/>
                <w:szCs w:val="20"/>
                <w:lang w:bidi="ar"/>
              </w:rPr>
              <w:t>1倍杆(塔)高</w:t>
            </w:r>
          </w:p>
        </w:tc>
        <w:tc>
          <w:tcPr>
            <w:tcW w:w="1001" w:type="dxa"/>
            <w:tcBorders>
              <w:top w:val="single" w:color="auto" w:sz="6" w:space="0"/>
              <w:left w:val="single" w:color="auto" w:sz="6" w:space="0"/>
              <w:bottom w:val="single" w:color="auto" w:sz="6" w:space="0"/>
              <w:right w:val="single" w:color="auto" w:sz="6" w:space="0"/>
            </w:tcBorders>
            <w:noWrap w:val="0"/>
            <w:vAlign w:val="center"/>
          </w:tcPr>
          <w:p w14:paraId="34C49CD2">
            <w:pPr>
              <w:widowControl/>
              <w:jc w:val="center"/>
              <w:rPr>
                <w:rFonts w:ascii="宋体" w:hAnsi="宋体"/>
                <w:bCs/>
                <w:sz w:val="20"/>
                <w:szCs w:val="20"/>
              </w:rPr>
            </w:pPr>
            <w:r>
              <w:rPr>
                <w:rFonts w:ascii="宋体" w:hAnsi="宋体"/>
                <w:bCs/>
                <w:sz w:val="20"/>
                <w:szCs w:val="20"/>
                <w:lang w:bidi="ar"/>
              </w:rPr>
              <w:t>1倍杆(塔)高</w:t>
            </w:r>
          </w:p>
        </w:tc>
        <w:tc>
          <w:tcPr>
            <w:tcW w:w="1809" w:type="dxa"/>
            <w:tcBorders>
              <w:top w:val="single" w:color="auto" w:sz="6" w:space="0"/>
              <w:left w:val="single" w:color="auto" w:sz="6" w:space="0"/>
              <w:bottom w:val="single" w:color="auto" w:sz="6" w:space="0"/>
              <w:right w:val="single" w:color="auto" w:sz="12" w:space="0"/>
            </w:tcBorders>
            <w:noWrap w:val="0"/>
            <w:vAlign w:val="center"/>
          </w:tcPr>
          <w:p w14:paraId="4F5C1402">
            <w:pPr>
              <w:widowControl/>
              <w:jc w:val="center"/>
              <w:rPr>
                <w:rFonts w:ascii="宋体" w:hAnsi="宋体"/>
                <w:bCs/>
                <w:sz w:val="20"/>
                <w:szCs w:val="20"/>
              </w:rPr>
            </w:pPr>
            <w:r>
              <w:rPr>
                <w:rFonts w:ascii="宋体" w:hAnsi="宋体"/>
                <w:bCs/>
                <w:sz w:val="20"/>
                <w:szCs w:val="20"/>
                <w:lang w:bidi="ar"/>
              </w:rPr>
              <w:t>1倍杆(塔)高</w:t>
            </w:r>
          </w:p>
        </w:tc>
      </w:tr>
      <w:tr w14:paraId="0EF81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Merge w:val="restart"/>
            <w:tcBorders>
              <w:top w:val="single" w:color="auto" w:sz="6" w:space="0"/>
              <w:left w:val="single" w:color="auto" w:sz="12" w:space="0"/>
              <w:bottom w:val="single" w:color="auto" w:sz="12" w:space="0"/>
              <w:right w:val="single" w:color="auto" w:sz="6" w:space="0"/>
            </w:tcBorders>
            <w:noWrap w:val="0"/>
            <w:vAlign w:val="center"/>
          </w:tcPr>
          <w:p w14:paraId="458CE30E">
            <w:pPr>
              <w:widowControl/>
              <w:jc w:val="center"/>
              <w:rPr>
                <w:rFonts w:ascii="宋体" w:hAnsi="宋体"/>
                <w:bCs/>
                <w:sz w:val="20"/>
                <w:szCs w:val="20"/>
              </w:rPr>
            </w:pPr>
            <w:r>
              <w:rPr>
                <w:rFonts w:ascii="宋体" w:hAnsi="宋体"/>
                <w:bCs/>
                <w:sz w:val="20"/>
                <w:szCs w:val="20"/>
                <w:lang w:bidi="ar"/>
              </w:rPr>
              <w:t>架空电力线路</w:t>
            </w:r>
          </w:p>
        </w:tc>
        <w:tc>
          <w:tcPr>
            <w:tcW w:w="3847" w:type="dxa"/>
            <w:gridSpan w:val="2"/>
            <w:tcBorders>
              <w:top w:val="single" w:color="auto" w:sz="6" w:space="0"/>
              <w:left w:val="single" w:color="auto" w:sz="6" w:space="0"/>
              <w:bottom w:val="single" w:color="auto" w:sz="6" w:space="0"/>
              <w:right w:val="single" w:color="auto" w:sz="6" w:space="0"/>
            </w:tcBorders>
            <w:noWrap w:val="0"/>
            <w:vAlign w:val="center"/>
          </w:tcPr>
          <w:p w14:paraId="3A33BC5F">
            <w:pPr>
              <w:widowControl/>
              <w:jc w:val="center"/>
              <w:rPr>
                <w:rFonts w:ascii="宋体" w:hAnsi="宋体"/>
                <w:bCs/>
                <w:sz w:val="20"/>
                <w:szCs w:val="20"/>
              </w:rPr>
            </w:pPr>
            <w:r>
              <w:rPr>
                <w:rFonts w:ascii="宋体" w:hAnsi="宋体"/>
                <w:bCs/>
                <w:sz w:val="20"/>
                <w:szCs w:val="20"/>
                <w:lang w:bidi="ar"/>
              </w:rPr>
              <w:t>无绝缘层</w:t>
            </w:r>
          </w:p>
        </w:tc>
        <w:tc>
          <w:tcPr>
            <w:tcW w:w="984" w:type="dxa"/>
            <w:tcBorders>
              <w:top w:val="single" w:color="auto" w:sz="6" w:space="0"/>
              <w:left w:val="single" w:color="auto" w:sz="6" w:space="0"/>
              <w:bottom w:val="single" w:color="auto" w:sz="6" w:space="0"/>
              <w:right w:val="single" w:color="auto" w:sz="6" w:space="0"/>
            </w:tcBorders>
            <w:noWrap w:val="0"/>
            <w:vAlign w:val="center"/>
          </w:tcPr>
          <w:p w14:paraId="443CD4F5">
            <w:pPr>
              <w:widowControl/>
              <w:jc w:val="center"/>
              <w:rPr>
                <w:rFonts w:ascii="宋体" w:hAnsi="宋体"/>
                <w:bCs/>
                <w:sz w:val="20"/>
                <w:szCs w:val="20"/>
              </w:rPr>
            </w:pPr>
            <w:r>
              <w:rPr>
                <w:rFonts w:ascii="宋体" w:hAnsi="宋体"/>
                <w:bCs/>
                <w:sz w:val="20"/>
                <w:szCs w:val="20"/>
                <w:lang w:bidi="ar"/>
              </w:rPr>
              <w:t>1.5倍杆(塔)高</w:t>
            </w:r>
          </w:p>
        </w:tc>
        <w:tc>
          <w:tcPr>
            <w:tcW w:w="1001" w:type="dxa"/>
            <w:tcBorders>
              <w:top w:val="single" w:color="auto" w:sz="6" w:space="0"/>
              <w:left w:val="single" w:color="auto" w:sz="6" w:space="0"/>
              <w:bottom w:val="single" w:color="auto" w:sz="6" w:space="0"/>
              <w:right w:val="single" w:color="auto" w:sz="6" w:space="0"/>
            </w:tcBorders>
            <w:noWrap w:val="0"/>
            <w:vAlign w:val="center"/>
          </w:tcPr>
          <w:p w14:paraId="084F7420">
            <w:pPr>
              <w:widowControl/>
              <w:jc w:val="center"/>
              <w:rPr>
                <w:rFonts w:ascii="宋体" w:hAnsi="宋体"/>
                <w:bCs/>
                <w:sz w:val="20"/>
                <w:szCs w:val="20"/>
              </w:rPr>
            </w:pPr>
            <w:r>
              <w:rPr>
                <w:rFonts w:ascii="宋体" w:hAnsi="宋体"/>
                <w:bCs/>
                <w:sz w:val="20"/>
                <w:szCs w:val="20"/>
                <w:lang w:bidi="ar"/>
              </w:rPr>
              <w:t>1.5倍杆(塔)高</w:t>
            </w:r>
          </w:p>
        </w:tc>
        <w:tc>
          <w:tcPr>
            <w:tcW w:w="1809" w:type="dxa"/>
            <w:vMerge w:val="restart"/>
            <w:tcBorders>
              <w:top w:val="single" w:color="auto" w:sz="6" w:space="0"/>
              <w:left w:val="single" w:color="auto" w:sz="6" w:space="0"/>
              <w:bottom w:val="single" w:color="auto" w:sz="12" w:space="0"/>
              <w:right w:val="single" w:color="auto" w:sz="12" w:space="0"/>
            </w:tcBorders>
            <w:noWrap w:val="0"/>
            <w:vAlign w:val="center"/>
          </w:tcPr>
          <w:p w14:paraId="5810A114">
            <w:pPr>
              <w:widowControl/>
              <w:jc w:val="center"/>
              <w:rPr>
                <w:rFonts w:ascii="宋体" w:hAnsi="宋体"/>
                <w:bCs/>
                <w:sz w:val="20"/>
                <w:szCs w:val="20"/>
              </w:rPr>
            </w:pPr>
            <w:r>
              <w:rPr>
                <w:rFonts w:ascii="宋体" w:hAnsi="宋体"/>
                <w:bCs/>
                <w:sz w:val="20"/>
                <w:szCs w:val="20"/>
                <w:lang w:bidi="ar"/>
              </w:rPr>
              <w:t>1倍杆(塔) 高</w:t>
            </w:r>
          </w:p>
        </w:tc>
      </w:tr>
      <w:tr w14:paraId="61249D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Merge w:val="continue"/>
            <w:tcBorders>
              <w:top w:val="single" w:color="auto" w:sz="6" w:space="0"/>
              <w:left w:val="single" w:color="auto" w:sz="12" w:space="0"/>
              <w:bottom w:val="single" w:color="auto" w:sz="12" w:space="0"/>
              <w:right w:val="single" w:color="auto" w:sz="6" w:space="0"/>
            </w:tcBorders>
            <w:noWrap w:val="0"/>
            <w:vAlign w:val="center"/>
          </w:tcPr>
          <w:p w14:paraId="51CA4BE3">
            <w:pPr>
              <w:rPr>
                <w:rFonts w:ascii="宋体" w:hAnsi="宋体"/>
                <w:sz w:val="20"/>
                <w:szCs w:val="20"/>
              </w:rPr>
            </w:pPr>
          </w:p>
        </w:tc>
        <w:tc>
          <w:tcPr>
            <w:tcW w:w="3847" w:type="dxa"/>
            <w:gridSpan w:val="2"/>
            <w:tcBorders>
              <w:top w:val="single" w:color="auto" w:sz="6" w:space="0"/>
              <w:left w:val="single" w:color="auto" w:sz="6" w:space="0"/>
              <w:bottom w:val="single" w:color="auto" w:sz="12" w:space="0"/>
              <w:right w:val="single" w:color="auto" w:sz="6" w:space="0"/>
            </w:tcBorders>
            <w:noWrap w:val="0"/>
            <w:vAlign w:val="center"/>
          </w:tcPr>
          <w:p w14:paraId="6440D7DB">
            <w:pPr>
              <w:widowControl/>
              <w:jc w:val="center"/>
              <w:rPr>
                <w:rFonts w:ascii="宋体" w:hAnsi="宋体"/>
                <w:bCs/>
                <w:sz w:val="20"/>
                <w:szCs w:val="20"/>
              </w:rPr>
            </w:pPr>
            <w:r>
              <w:rPr>
                <w:rFonts w:ascii="宋体" w:hAnsi="宋体"/>
                <w:bCs/>
                <w:sz w:val="20"/>
                <w:szCs w:val="20"/>
                <w:lang w:bidi="ar"/>
              </w:rPr>
              <w:t>有绝缘层</w:t>
            </w:r>
          </w:p>
        </w:tc>
        <w:tc>
          <w:tcPr>
            <w:tcW w:w="984" w:type="dxa"/>
            <w:tcBorders>
              <w:top w:val="single" w:color="auto" w:sz="6" w:space="0"/>
              <w:left w:val="single" w:color="auto" w:sz="6" w:space="0"/>
              <w:bottom w:val="single" w:color="auto" w:sz="12" w:space="0"/>
              <w:right w:val="single" w:color="auto" w:sz="6" w:space="0"/>
            </w:tcBorders>
            <w:noWrap w:val="0"/>
            <w:vAlign w:val="center"/>
          </w:tcPr>
          <w:p w14:paraId="7B8F4544">
            <w:pPr>
              <w:widowControl/>
              <w:jc w:val="center"/>
              <w:rPr>
                <w:rFonts w:ascii="宋体" w:hAnsi="宋体"/>
                <w:bCs/>
                <w:sz w:val="20"/>
                <w:szCs w:val="20"/>
              </w:rPr>
            </w:pPr>
            <w:r>
              <w:rPr>
                <w:rFonts w:ascii="宋体" w:hAnsi="宋体"/>
                <w:bCs/>
                <w:sz w:val="20"/>
                <w:szCs w:val="20"/>
                <w:lang w:bidi="ar"/>
              </w:rPr>
              <w:t>1倍杆(塔)高</w:t>
            </w:r>
          </w:p>
        </w:tc>
        <w:tc>
          <w:tcPr>
            <w:tcW w:w="1001" w:type="dxa"/>
            <w:tcBorders>
              <w:top w:val="single" w:color="auto" w:sz="6" w:space="0"/>
              <w:left w:val="single" w:color="auto" w:sz="6" w:space="0"/>
              <w:bottom w:val="single" w:color="auto" w:sz="12" w:space="0"/>
              <w:right w:val="single" w:color="auto" w:sz="6" w:space="0"/>
            </w:tcBorders>
            <w:noWrap w:val="0"/>
            <w:vAlign w:val="center"/>
          </w:tcPr>
          <w:p w14:paraId="237C4C4E">
            <w:pPr>
              <w:widowControl/>
              <w:jc w:val="center"/>
              <w:rPr>
                <w:rFonts w:ascii="宋体" w:hAnsi="宋体"/>
                <w:bCs/>
                <w:sz w:val="20"/>
                <w:szCs w:val="20"/>
              </w:rPr>
            </w:pPr>
            <w:r>
              <w:rPr>
                <w:rFonts w:ascii="宋体" w:hAnsi="宋体"/>
                <w:bCs/>
                <w:sz w:val="20"/>
                <w:szCs w:val="20"/>
                <w:lang w:bidi="ar"/>
              </w:rPr>
              <w:t>1倍杆(塔)高</w:t>
            </w:r>
          </w:p>
        </w:tc>
        <w:tc>
          <w:tcPr>
            <w:tcW w:w="1809" w:type="dxa"/>
            <w:vMerge w:val="continue"/>
            <w:tcBorders>
              <w:top w:val="single" w:color="auto" w:sz="6" w:space="0"/>
              <w:left w:val="single" w:color="auto" w:sz="6" w:space="0"/>
              <w:bottom w:val="single" w:color="auto" w:sz="12" w:space="0"/>
              <w:right w:val="single" w:color="auto" w:sz="12" w:space="0"/>
            </w:tcBorders>
            <w:noWrap w:val="0"/>
            <w:vAlign w:val="center"/>
          </w:tcPr>
          <w:p w14:paraId="1D16380E">
            <w:pPr>
              <w:rPr>
                <w:sz w:val="20"/>
                <w:szCs w:val="20"/>
              </w:rPr>
            </w:pPr>
          </w:p>
        </w:tc>
      </w:tr>
    </w:tbl>
    <w:p w14:paraId="339B5996">
      <w:pPr>
        <w:snapToGrid w:val="0"/>
        <w:spacing w:before="120" w:beforeLines="50" w:line="310" w:lineRule="exact"/>
        <w:ind w:left="994" w:leftChars="200" w:hanging="574" w:hangingChars="286"/>
        <w:rPr>
          <w:rFonts w:ascii="宋体" w:hAnsi="宋体"/>
          <w:bCs/>
          <w:sz w:val="20"/>
          <w:szCs w:val="20"/>
          <w:lang w:bidi="ar"/>
        </w:rPr>
      </w:pPr>
      <w:r>
        <w:rPr>
          <w:rFonts w:ascii="宋体" w:hAnsi="宋体"/>
          <w:b/>
          <w:bCs/>
          <w:sz w:val="20"/>
          <w:szCs w:val="20"/>
          <w:lang w:bidi="ar"/>
        </w:rPr>
        <w:t>注：</w:t>
      </w:r>
      <w:r>
        <w:rPr>
          <w:rFonts w:ascii="宋体" w:hAnsi="宋体"/>
          <w:bCs/>
          <w:sz w:val="20"/>
          <w:szCs w:val="20"/>
          <w:lang w:bidi="ar"/>
        </w:rPr>
        <w:t>1.室外变、配电站指电力系统电压为35 kV～500kV，且每台变压器容量在10MV•A以上的室外变、配电站，以及工业企业的变压器总油量大于5t的室外降压变电站。其他规格的室外变、配电站或变压器按丙类物品生产厂房确定。</w:t>
      </w:r>
    </w:p>
    <w:p w14:paraId="535A85AC">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2.表中道路系指机动车道路。油罐、加油机和油罐通气管管口与郊区公路的安全间距按城市道路确定，高速公路、一级和二级公路按城市快速路、主干路确定；三级和四级公路按城市次干路、支路确定。</w:t>
      </w:r>
    </w:p>
    <w:p w14:paraId="37684005">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3.与重要公共建筑物的主要出入口（包括铁路和二级及以上公路的隧道出入口）尚不应小于50m。</w:t>
      </w:r>
    </w:p>
    <w:p w14:paraId="4C5DDD8D">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4.储气瓶拖车固定停车位与站外建（构）筑物的防火间距，应按本表储气瓶的安全间距确定。</w:t>
      </w:r>
    </w:p>
    <w:p w14:paraId="132E2735">
      <w:pPr>
        <w:snapToGrid w:val="0"/>
        <w:spacing w:line="310" w:lineRule="exact"/>
        <w:ind w:left="990" w:leftChars="400" w:hanging="150" w:hangingChars="75"/>
        <w:rPr>
          <w:rFonts w:ascii="宋体" w:hAnsi="宋体"/>
          <w:sz w:val="20"/>
          <w:szCs w:val="20"/>
        </w:rPr>
      </w:pPr>
      <w:r>
        <w:rPr>
          <w:rFonts w:ascii="宋体" w:hAnsi="宋体"/>
          <w:bCs/>
          <w:sz w:val="20"/>
          <w:szCs w:val="20"/>
          <w:lang w:bidi="ar"/>
        </w:rPr>
        <w:t>5.一、二级耐火等级民用建筑物面向加气站一侧的墙为无门窗洞口实体墙时，站内压缩天然气工艺设备与该民用建筑物的距离，不应低于本表规定的安全间距的70%。</w:t>
      </w:r>
    </w:p>
    <w:p w14:paraId="6D7ECBA8">
      <w:pPr>
        <w:rPr>
          <w:rFonts w:eastAsia="黑体"/>
          <w:sz w:val="28"/>
          <w:szCs w:val="28"/>
          <w:lang w:bidi="ar"/>
        </w:rPr>
      </w:pPr>
      <w:r>
        <w:rPr>
          <w:rFonts w:eastAsia="黑体"/>
          <w:sz w:val="28"/>
          <w:szCs w:val="28"/>
          <w:lang w:bidi="ar"/>
        </w:rPr>
        <w:t>附表8—8</w:t>
      </w:r>
    </w:p>
    <w:p w14:paraId="3F14153E">
      <w:pPr>
        <w:autoSpaceDE w:val="0"/>
        <w:autoSpaceDN w:val="0"/>
        <w:adjustRightInd w:val="0"/>
        <w:spacing w:before="120" w:beforeLines="50" w:after="120" w:afterLines="50" w:line="500" w:lineRule="exact"/>
        <w:jc w:val="center"/>
        <w:rPr>
          <w:rFonts w:eastAsia="黑体"/>
          <w:sz w:val="28"/>
          <w:szCs w:val="28"/>
          <w:lang w:bidi="ar"/>
        </w:rPr>
      </w:pPr>
      <w:r>
        <w:rPr>
          <w:rFonts w:eastAsia="黑体"/>
          <w:sz w:val="28"/>
          <w:szCs w:val="28"/>
          <w:lang w:bidi="ar"/>
        </w:rPr>
        <w:t>液化天然气设备与站外建（构）筑物的安全间距（单位：m）</w:t>
      </w: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29"/>
        <w:gridCol w:w="94"/>
        <w:gridCol w:w="194"/>
        <w:gridCol w:w="2281"/>
        <w:gridCol w:w="1091"/>
        <w:gridCol w:w="900"/>
        <w:gridCol w:w="895"/>
        <w:gridCol w:w="961"/>
        <w:gridCol w:w="1085"/>
      </w:tblGrid>
      <w:tr w14:paraId="2CB85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898" w:type="dxa"/>
            <w:gridSpan w:val="4"/>
            <w:vMerge w:val="restart"/>
            <w:tcBorders>
              <w:top w:val="single" w:color="auto" w:sz="12" w:space="0"/>
              <w:left w:val="single" w:color="auto" w:sz="12" w:space="0"/>
              <w:bottom w:val="single" w:color="auto" w:sz="6" w:space="0"/>
              <w:right w:val="single" w:color="auto" w:sz="6" w:space="0"/>
            </w:tcBorders>
            <w:noWrap w:val="0"/>
            <w:vAlign w:val="center"/>
          </w:tcPr>
          <w:p w14:paraId="1406E99E">
            <w:pPr>
              <w:widowControl/>
              <w:ind w:firstLine="436"/>
              <w:jc w:val="center"/>
              <w:rPr>
                <w:rFonts w:eastAsia="黑体"/>
                <w:bCs/>
                <w:sz w:val="20"/>
                <w:szCs w:val="20"/>
              </w:rPr>
            </w:pPr>
            <w:r>
              <w:rPr>
                <w:rFonts w:eastAsia="黑体"/>
                <w:bCs/>
                <w:sz w:val="20"/>
                <w:szCs w:val="20"/>
                <w:lang w:bidi="ar"/>
              </w:rPr>
              <w:t>站外建（构）筑物</w:t>
            </w:r>
          </w:p>
        </w:tc>
        <w:tc>
          <w:tcPr>
            <w:tcW w:w="4932" w:type="dxa"/>
            <w:gridSpan w:val="5"/>
            <w:tcBorders>
              <w:top w:val="single" w:color="auto" w:sz="12" w:space="0"/>
              <w:left w:val="single" w:color="auto" w:sz="6" w:space="0"/>
              <w:bottom w:val="single" w:color="auto" w:sz="6" w:space="0"/>
              <w:right w:val="single" w:color="auto" w:sz="12" w:space="0"/>
            </w:tcBorders>
            <w:noWrap w:val="0"/>
            <w:vAlign w:val="center"/>
          </w:tcPr>
          <w:p w14:paraId="0EA8F36A">
            <w:pPr>
              <w:widowControl/>
              <w:jc w:val="center"/>
              <w:rPr>
                <w:rFonts w:eastAsia="黑体"/>
                <w:bCs/>
                <w:sz w:val="20"/>
                <w:szCs w:val="20"/>
              </w:rPr>
            </w:pPr>
            <w:r>
              <w:rPr>
                <w:rFonts w:eastAsia="黑体"/>
                <w:bCs/>
                <w:sz w:val="20"/>
                <w:szCs w:val="20"/>
                <w:lang w:bidi="ar"/>
              </w:rPr>
              <w:t>站内液化天然气设备</w:t>
            </w:r>
          </w:p>
        </w:tc>
      </w:tr>
      <w:tr w14:paraId="1C332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898" w:type="dxa"/>
            <w:gridSpan w:val="4"/>
            <w:vMerge w:val="continue"/>
            <w:tcBorders>
              <w:top w:val="single" w:color="auto" w:sz="12" w:space="0"/>
              <w:left w:val="single" w:color="auto" w:sz="12" w:space="0"/>
              <w:bottom w:val="single" w:color="auto" w:sz="6" w:space="0"/>
              <w:right w:val="single" w:color="auto" w:sz="6" w:space="0"/>
            </w:tcBorders>
            <w:noWrap w:val="0"/>
            <w:vAlign w:val="top"/>
          </w:tcPr>
          <w:p w14:paraId="272E6B8C">
            <w:pPr>
              <w:rPr>
                <w:rFonts w:eastAsia="黑体"/>
                <w:sz w:val="20"/>
                <w:szCs w:val="20"/>
              </w:rPr>
            </w:pPr>
          </w:p>
        </w:tc>
        <w:tc>
          <w:tcPr>
            <w:tcW w:w="2886" w:type="dxa"/>
            <w:gridSpan w:val="3"/>
            <w:tcBorders>
              <w:top w:val="single" w:color="auto" w:sz="6" w:space="0"/>
              <w:left w:val="single" w:color="auto" w:sz="6" w:space="0"/>
              <w:bottom w:val="single" w:color="auto" w:sz="6" w:space="0"/>
              <w:right w:val="single" w:color="auto" w:sz="6" w:space="0"/>
            </w:tcBorders>
            <w:noWrap w:val="0"/>
            <w:vAlign w:val="center"/>
          </w:tcPr>
          <w:p w14:paraId="7CE7DAD1">
            <w:pPr>
              <w:widowControl/>
              <w:jc w:val="center"/>
              <w:rPr>
                <w:rFonts w:eastAsia="黑体"/>
                <w:bCs/>
                <w:sz w:val="20"/>
                <w:szCs w:val="20"/>
              </w:rPr>
            </w:pPr>
            <w:r>
              <w:rPr>
                <w:rFonts w:eastAsia="黑体"/>
                <w:bCs/>
                <w:sz w:val="20"/>
                <w:szCs w:val="20"/>
                <w:lang w:bidi="ar"/>
              </w:rPr>
              <w:t>地上液化天然气储罐</w:t>
            </w:r>
          </w:p>
        </w:tc>
        <w:tc>
          <w:tcPr>
            <w:tcW w:w="961" w:type="dxa"/>
            <w:vMerge w:val="restart"/>
            <w:tcBorders>
              <w:top w:val="single" w:color="auto" w:sz="6" w:space="0"/>
              <w:left w:val="single" w:color="auto" w:sz="6" w:space="0"/>
              <w:bottom w:val="single" w:color="auto" w:sz="6" w:space="0"/>
              <w:right w:val="single" w:color="auto" w:sz="6" w:space="0"/>
            </w:tcBorders>
            <w:noWrap w:val="0"/>
            <w:vAlign w:val="center"/>
          </w:tcPr>
          <w:p w14:paraId="76EFA8AF">
            <w:pPr>
              <w:widowControl/>
              <w:jc w:val="center"/>
              <w:rPr>
                <w:rFonts w:eastAsia="黑体"/>
                <w:bCs/>
                <w:sz w:val="20"/>
                <w:szCs w:val="20"/>
                <w:lang w:bidi="ar"/>
              </w:rPr>
            </w:pPr>
            <w:r>
              <w:rPr>
                <w:rFonts w:eastAsia="黑体"/>
                <w:bCs/>
                <w:sz w:val="20"/>
                <w:szCs w:val="20"/>
                <w:lang w:bidi="ar"/>
              </w:rPr>
              <w:t>放散管管口、</w:t>
            </w:r>
          </w:p>
          <w:p w14:paraId="51BF5474">
            <w:pPr>
              <w:widowControl/>
              <w:jc w:val="center"/>
              <w:rPr>
                <w:rFonts w:eastAsia="黑体"/>
                <w:bCs/>
                <w:sz w:val="20"/>
                <w:szCs w:val="20"/>
              </w:rPr>
            </w:pPr>
            <w:r>
              <w:rPr>
                <w:rFonts w:eastAsia="黑体"/>
                <w:bCs/>
                <w:sz w:val="20"/>
                <w:szCs w:val="20"/>
                <w:lang w:bidi="ar"/>
              </w:rPr>
              <w:t>加气机</w:t>
            </w:r>
          </w:p>
        </w:tc>
        <w:tc>
          <w:tcPr>
            <w:tcW w:w="1085" w:type="dxa"/>
            <w:vMerge w:val="restart"/>
            <w:tcBorders>
              <w:top w:val="single" w:color="auto" w:sz="6" w:space="0"/>
              <w:left w:val="single" w:color="auto" w:sz="6" w:space="0"/>
              <w:bottom w:val="single" w:color="auto" w:sz="6" w:space="0"/>
              <w:right w:val="single" w:color="auto" w:sz="12" w:space="0"/>
            </w:tcBorders>
            <w:noWrap w:val="0"/>
            <w:vAlign w:val="center"/>
          </w:tcPr>
          <w:p w14:paraId="08037488">
            <w:pPr>
              <w:widowControl/>
              <w:jc w:val="center"/>
              <w:rPr>
                <w:rFonts w:eastAsia="黑体"/>
                <w:bCs/>
                <w:sz w:val="20"/>
                <w:szCs w:val="20"/>
              </w:rPr>
            </w:pPr>
            <w:r>
              <w:rPr>
                <w:rFonts w:eastAsia="黑体"/>
                <w:bCs/>
                <w:sz w:val="20"/>
                <w:szCs w:val="20"/>
                <w:lang w:bidi="ar"/>
              </w:rPr>
              <w:t>卸车点</w:t>
            </w:r>
          </w:p>
        </w:tc>
      </w:tr>
      <w:tr w14:paraId="4FBA8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898" w:type="dxa"/>
            <w:gridSpan w:val="4"/>
            <w:vMerge w:val="continue"/>
            <w:tcBorders>
              <w:top w:val="single" w:color="auto" w:sz="12" w:space="0"/>
              <w:left w:val="single" w:color="auto" w:sz="12" w:space="0"/>
              <w:bottom w:val="single" w:color="auto" w:sz="6" w:space="0"/>
              <w:right w:val="single" w:color="auto" w:sz="6" w:space="0"/>
            </w:tcBorders>
            <w:noWrap w:val="0"/>
            <w:vAlign w:val="top"/>
          </w:tcPr>
          <w:p w14:paraId="50EC91A3">
            <w:pPr>
              <w:rPr>
                <w:sz w:val="20"/>
                <w:szCs w:val="20"/>
              </w:rPr>
            </w:pPr>
          </w:p>
        </w:tc>
        <w:tc>
          <w:tcPr>
            <w:tcW w:w="1091" w:type="dxa"/>
            <w:tcBorders>
              <w:top w:val="single" w:color="auto" w:sz="6" w:space="0"/>
              <w:left w:val="single" w:color="auto" w:sz="6" w:space="0"/>
              <w:bottom w:val="single" w:color="auto" w:sz="6" w:space="0"/>
              <w:right w:val="single" w:color="auto" w:sz="6" w:space="0"/>
            </w:tcBorders>
            <w:noWrap w:val="0"/>
            <w:vAlign w:val="center"/>
          </w:tcPr>
          <w:p w14:paraId="44EE55B9">
            <w:pPr>
              <w:widowControl/>
              <w:jc w:val="center"/>
              <w:rPr>
                <w:rFonts w:eastAsia="黑体"/>
                <w:bCs/>
                <w:sz w:val="20"/>
                <w:szCs w:val="20"/>
              </w:rPr>
            </w:pPr>
            <w:r>
              <w:rPr>
                <w:rFonts w:eastAsia="黑体"/>
                <w:bCs/>
                <w:sz w:val="20"/>
                <w:szCs w:val="20"/>
                <w:lang w:bidi="ar"/>
              </w:rPr>
              <w:t>一级站</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F7CD414">
            <w:pPr>
              <w:widowControl/>
              <w:jc w:val="center"/>
              <w:rPr>
                <w:rFonts w:eastAsia="黑体"/>
                <w:bCs/>
                <w:sz w:val="20"/>
                <w:szCs w:val="20"/>
              </w:rPr>
            </w:pPr>
            <w:r>
              <w:rPr>
                <w:rFonts w:eastAsia="黑体"/>
                <w:bCs/>
                <w:sz w:val="20"/>
                <w:szCs w:val="20"/>
                <w:lang w:bidi="ar"/>
              </w:rPr>
              <w:t>二级站</w:t>
            </w:r>
          </w:p>
        </w:tc>
        <w:tc>
          <w:tcPr>
            <w:tcW w:w="895" w:type="dxa"/>
            <w:tcBorders>
              <w:top w:val="single" w:color="auto" w:sz="6" w:space="0"/>
              <w:left w:val="single" w:color="auto" w:sz="6" w:space="0"/>
              <w:bottom w:val="single" w:color="auto" w:sz="6" w:space="0"/>
              <w:right w:val="single" w:color="auto" w:sz="6" w:space="0"/>
            </w:tcBorders>
            <w:noWrap w:val="0"/>
            <w:vAlign w:val="center"/>
          </w:tcPr>
          <w:p w14:paraId="7C3A5842">
            <w:pPr>
              <w:widowControl/>
              <w:jc w:val="center"/>
              <w:rPr>
                <w:rFonts w:eastAsia="黑体"/>
                <w:bCs/>
                <w:sz w:val="20"/>
                <w:szCs w:val="20"/>
              </w:rPr>
            </w:pPr>
            <w:r>
              <w:rPr>
                <w:rFonts w:eastAsia="黑体"/>
                <w:bCs/>
                <w:sz w:val="20"/>
                <w:szCs w:val="20"/>
                <w:lang w:bidi="ar"/>
              </w:rPr>
              <w:t>三级站</w:t>
            </w:r>
          </w:p>
        </w:tc>
        <w:tc>
          <w:tcPr>
            <w:tcW w:w="961" w:type="dxa"/>
            <w:vMerge w:val="continue"/>
            <w:tcBorders>
              <w:top w:val="single" w:color="auto" w:sz="6" w:space="0"/>
              <w:left w:val="single" w:color="auto" w:sz="6" w:space="0"/>
              <w:bottom w:val="single" w:color="auto" w:sz="6" w:space="0"/>
              <w:right w:val="single" w:color="auto" w:sz="6" w:space="0"/>
            </w:tcBorders>
            <w:noWrap w:val="0"/>
            <w:vAlign w:val="center"/>
          </w:tcPr>
          <w:p w14:paraId="422F4004">
            <w:pPr>
              <w:rPr>
                <w:sz w:val="20"/>
                <w:szCs w:val="20"/>
              </w:rPr>
            </w:pPr>
          </w:p>
        </w:tc>
        <w:tc>
          <w:tcPr>
            <w:tcW w:w="1085" w:type="dxa"/>
            <w:vMerge w:val="continue"/>
            <w:tcBorders>
              <w:top w:val="single" w:color="auto" w:sz="6" w:space="0"/>
              <w:left w:val="single" w:color="auto" w:sz="6" w:space="0"/>
              <w:bottom w:val="single" w:color="auto" w:sz="6" w:space="0"/>
              <w:right w:val="single" w:color="auto" w:sz="12" w:space="0"/>
            </w:tcBorders>
            <w:noWrap w:val="0"/>
            <w:vAlign w:val="center"/>
          </w:tcPr>
          <w:p w14:paraId="4E3E2955">
            <w:pPr>
              <w:rPr>
                <w:sz w:val="20"/>
                <w:szCs w:val="20"/>
              </w:rPr>
            </w:pPr>
          </w:p>
        </w:tc>
      </w:tr>
      <w:tr w14:paraId="770C3F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14:paraId="24F32A38">
            <w:pPr>
              <w:widowControl/>
              <w:jc w:val="center"/>
              <w:rPr>
                <w:rFonts w:ascii="宋体" w:hAnsi="宋体"/>
                <w:bCs/>
                <w:sz w:val="20"/>
                <w:szCs w:val="20"/>
              </w:rPr>
            </w:pPr>
            <w:r>
              <w:rPr>
                <w:rFonts w:ascii="宋体" w:hAnsi="宋体"/>
                <w:bCs/>
                <w:sz w:val="20"/>
                <w:szCs w:val="20"/>
                <w:lang w:bidi="ar"/>
              </w:rPr>
              <w:t>重要公共建筑物</w:t>
            </w:r>
          </w:p>
        </w:tc>
        <w:tc>
          <w:tcPr>
            <w:tcW w:w="1091" w:type="dxa"/>
            <w:tcBorders>
              <w:top w:val="single" w:color="auto" w:sz="6" w:space="0"/>
              <w:left w:val="single" w:color="auto" w:sz="6" w:space="0"/>
              <w:bottom w:val="single" w:color="auto" w:sz="6" w:space="0"/>
              <w:right w:val="single" w:color="auto" w:sz="6" w:space="0"/>
            </w:tcBorders>
            <w:noWrap w:val="0"/>
            <w:vAlign w:val="center"/>
          </w:tcPr>
          <w:p w14:paraId="6DC7133E">
            <w:pPr>
              <w:widowControl/>
              <w:jc w:val="center"/>
              <w:rPr>
                <w:rFonts w:ascii="宋体" w:hAnsi="宋体"/>
                <w:bCs/>
                <w:sz w:val="20"/>
                <w:szCs w:val="20"/>
              </w:rPr>
            </w:pPr>
            <w:r>
              <w:rPr>
                <w:rFonts w:ascii="宋体" w:hAnsi="宋体"/>
                <w:bCs/>
                <w:sz w:val="20"/>
                <w:szCs w:val="20"/>
                <w:lang w:bidi="ar"/>
              </w:rPr>
              <w:t>80</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C372CF5">
            <w:pPr>
              <w:widowControl/>
              <w:jc w:val="center"/>
              <w:rPr>
                <w:rFonts w:ascii="宋体" w:hAnsi="宋体"/>
                <w:bCs/>
                <w:sz w:val="20"/>
                <w:szCs w:val="20"/>
              </w:rPr>
            </w:pPr>
            <w:r>
              <w:rPr>
                <w:rFonts w:ascii="宋体" w:hAnsi="宋体"/>
                <w:bCs/>
                <w:sz w:val="20"/>
                <w:szCs w:val="20"/>
                <w:lang w:bidi="ar"/>
              </w:rPr>
              <w:t>80</w:t>
            </w:r>
          </w:p>
        </w:tc>
        <w:tc>
          <w:tcPr>
            <w:tcW w:w="895" w:type="dxa"/>
            <w:tcBorders>
              <w:top w:val="single" w:color="auto" w:sz="6" w:space="0"/>
              <w:left w:val="single" w:color="auto" w:sz="6" w:space="0"/>
              <w:bottom w:val="single" w:color="auto" w:sz="6" w:space="0"/>
              <w:right w:val="single" w:color="auto" w:sz="6" w:space="0"/>
            </w:tcBorders>
            <w:noWrap w:val="0"/>
            <w:vAlign w:val="center"/>
          </w:tcPr>
          <w:p w14:paraId="6AD5F58F">
            <w:pPr>
              <w:widowControl/>
              <w:jc w:val="center"/>
              <w:rPr>
                <w:rFonts w:ascii="宋体" w:hAnsi="宋体"/>
                <w:bCs/>
                <w:sz w:val="20"/>
                <w:szCs w:val="20"/>
              </w:rPr>
            </w:pPr>
            <w:r>
              <w:rPr>
                <w:rFonts w:ascii="宋体" w:hAnsi="宋体"/>
                <w:bCs/>
                <w:sz w:val="20"/>
                <w:szCs w:val="20"/>
                <w:lang w:bidi="ar"/>
              </w:rPr>
              <w:t>80</w:t>
            </w:r>
          </w:p>
        </w:tc>
        <w:tc>
          <w:tcPr>
            <w:tcW w:w="961" w:type="dxa"/>
            <w:tcBorders>
              <w:top w:val="single" w:color="auto" w:sz="6" w:space="0"/>
              <w:left w:val="single" w:color="auto" w:sz="6" w:space="0"/>
              <w:bottom w:val="single" w:color="auto" w:sz="6" w:space="0"/>
              <w:right w:val="single" w:color="auto" w:sz="6" w:space="0"/>
            </w:tcBorders>
            <w:noWrap w:val="0"/>
            <w:vAlign w:val="center"/>
          </w:tcPr>
          <w:p w14:paraId="20B043AF">
            <w:pPr>
              <w:widowControl/>
              <w:jc w:val="center"/>
              <w:rPr>
                <w:rFonts w:ascii="宋体" w:hAnsi="宋体"/>
                <w:bCs/>
                <w:sz w:val="20"/>
                <w:szCs w:val="20"/>
              </w:rPr>
            </w:pPr>
            <w:r>
              <w:rPr>
                <w:rFonts w:ascii="宋体" w:hAnsi="宋体"/>
                <w:bCs/>
                <w:sz w:val="20"/>
                <w:szCs w:val="20"/>
                <w:lang w:bidi="ar"/>
              </w:rPr>
              <w:t>50</w:t>
            </w:r>
          </w:p>
        </w:tc>
        <w:tc>
          <w:tcPr>
            <w:tcW w:w="1085" w:type="dxa"/>
            <w:tcBorders>
              <w:top w:val="single" w:color="auto" w:sz="6" w:space="0"/>
              <w:left w:val="single" w:color="auto" w:sz="6" w:space="0"/>
              <w:bottom w:val="single" w:color="auto" w:sz="6" w:space="0"/>
              <w:right w:val="single" w:color="auto" w:sz="12" w:space="0"/>
            </w:tcBorders>
            <w:noWrap w:val="0"/>
            <w:vAlign w:val="center"/>
          </w:tcPr>
          <w:p w14:paraId="0EDC8FB7">
            <w:pPr>
              <w:widowControl/>
              <w:jc w:val="center"/>
              <w:rPr>
                <w:rFonts w:ascii="宋体" w:hAnsi="宋体"/>
                <w:bCs/>
                <w:sz w:val="20"/>
                <w:szCs w:val="20"/>
              </w:rPr>
            </w:pPr>
            <w:r>
              <w:rPr>
                <w:rFonts w:ascii="宋体" w:hAnsi="宋体"/>
                <w:bCs/>
                <w:sz w:val="20"/>
                <w:szCs w:val="20"/>
                <w:lang w:bidi="ar"/>
              </w:rPr>
              <w:t>50</w:t>
            </w:r>
          </w:p>
        </w:tc>
      </w:tr>
      <w:tr w14:paraId="3E4155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14:paraId="531A1F7F">
            <w:pPr>
              <w:widowControl/>
              <w:jc w:val="center"/>
              <w:rPr>
                <w:rFonts w:ascii="宋体" w:hAnsi="宋体"/>
                <w:bCs/>
                <w:sz w:val="20"/>
                <w:szCs w:val="20"/>
              </w:rPr>
            </w:pPr>
            <w:r>
              <w:rPr>
                <w:rFonts w:ascii="宋体" w:hAnsi="宋体"/>
                <w:bCs/>
                <w:sz w:val="20"/>
                <w:szCs w:val="20"/>
                <w:lang w:bidi="ar"/>
              </w:rPr>
              <w:t>明火地点或散发火花地点</w:t>
            </w:r>
          </w:p>
        </w:tc>
        <w:tc>
          <w:tcPr>
            <w:tcW w:w="1091" w:type="dxa"/>
            <w:vMerge w:val="restart"/>
            <w:tcBorders>
              <w:top w:val="single" w:color="auto" w:sz="6" w:space="0"/>
              <w:left w:val="single" w:color="auto" w:sz="6" w:space="0"/>
              <w:bottom w:val="single" w:color="auto" w:sz="6" w:space="0"/>
              <w:right w:val="single" w:color="auto" w:sz="6" w:space="0"/>
            </w:tcBorders>
            <w:noWrap w:val="0"/>
            <w:vAlign w:val="center"/>
          </w:tcPr>
          <w:p w14:paraId="71AF1CD6">
            <w:pPr>
              <w:widowControl/>
              <w:jc w:val="center"/>
              <w:rPr>
                <w:rFonts w:ascii="宋体" w:hAnsi="宋体"/>
                <w:bCs/>
                <w:sz w:val="20"/>
                <w:szCs w:val="20"/>
              </w:rPr>
            </w:pPr>
            <w:r>
              <w:rPr>
                <w:rFonts w:ascii="宋体" w:hAnsi="宋体"/>
                <w:bCs/>
                <w:sz w:val="20"/>
                <w:szCs w:val="20"/>
                <w:lang w:bidi="ar"/>
              </w:rPr>
              <w:t>35</w:t>
            </w:r>
          </w:p>
        </w:tc>
        <w:tc>
          <w:tcPr>
            <w:tcW w:w="900" w:type="dxa"/>
            <w:vMerge w:val="restart"/>
            <w:tcBorders>
              <w:top w:val="single" w:color="auto" w:sz="6" w:space="0"/>
              <w:left w:val="single" w:color="auto" w:sz="6" w:space="0"/>
              <w:bottom w:val="single" w:color="auto" w:sz="6" w:space="0"/>
              <w:right w:val="single" w:color="auto" w:sz="6" w:space="0"/>
            </w:tcBorders>
            <w:noWrap w:val="0"/>
            <w:vAlign w:val="center"/>
          </w:tcPr>
          <w:p w14:paraId="7EB1ED21">
            <w:pPr>
              <w:widowControl/>
              <w:jc w:val="center"/>
              <w:rPr>
                <w:rFonts w:ascii="宋体" w:hAnsi="宋体"/>
                <w:bCs/>
                <w:sz w:val="20"/>
                <w:szCs w:val="20"/>
              </w:rPr>
            </w:pPr>
            <w:r>
              <w:rPr>
                <w:rFonts w:ascii="宋体" w:hAnsi="宋体"/>
                <w:bCs/>
                <w:sz w:val="20"/>
                <w:szCs w:val="20"/>
                <w:lang w:bidi="ar"/>
              </w:rPr>
              <w:t>30</w:t>
            </w:r>
          </w:p>
        </w:tc>
        <w:tc>
          <w:tcPr>
            <w:tcW w:w="895" w:type="dxa"/>
            <w:vMerge w:val="restart"/>
            <w:tcBorders>
              <w:top w:val="single" w:color="auto" w:sz="6" w:space="0"/>
              <w:left w:val="single" w:color="auto" w:sz="6" w:space="0"/>
              <w:bottom w:val="single" w:color="auto" w:sz="6" w:space="0"/>
              <w:right w:val="single" w:color="auto" w:sz="6" w:space="0"/>
            </w:tcBorders>
            <w:noWrap w:val="0"/>
            <w:vAlign w:val="center"/>
          </w:tcPr>
          <w:p w14:paraId="45DD0D21">
            <w:pPr>
              <w:widowControl/>
              <w:jc w:val="center"/>
              <w:rPr>
                <w:rFonts w:ascii="宋体" w:hAnsi="宋体"/>
                <w:bCs/>
                <w:sz w:val="20"/>
                <w:szCs w:val="20"/>
              </w:rPr>
            </w:pPr>
            <w:r>
              <w:rPr>
                <w:rFonts w:ascii="宋体" w:hAnsi="宋体"/>
                <w:bCs/>
                <w:sz w:val="20"/>
                <w:szCs w:val="20"/>
                <w:lang w:bidi="ar"/>
              </w:rPr>
              <w:t>25</w:t>
            </w:r>
          </w:p>
        </w:tc>
        <w:tc>
          <w:tcPr>
            <w:tcW w:w="961" w:type="dxa"/>
            <w:vMerge w:val="restart"/>
            <w:tcBorders>
              <w:top w:val="single" w:color="auto" w:sz="6" w:space="0"/>
              <w:left w:val="single" w:color="auto" w:sz="6" w:space="0"/>
              <w:bottom w:val="single" w:color="auto" w:sz="6" w:space="0"/>
              <w:right w:val="single" w:color="auto" w:sz="6" w:space="0"/>
            </w:tcBorders>
            <w:noWrap w:val="0"/>
            <w:vAlign w:val="center"/>
          </w:tcPr>
          <w:p w14:paraId="3162686F">
            <w:pPr>
              <w:widowControl/>
              <w:jc w:val="center"/>
              <w:rPr>
                <w:rFonts w:ascii="宋体" w:hAnsi="宋体"/>
                <w:bCs/>
                <w:sz w:val="20"/>
                <w:szCs w:val="20"/>
              </w:rPr>
            </w:pPr>
            <w:r>
              <w:rPr>
                <w:rFonts w:ascii="宋体" w:hAnsi="宋体"/>
                <w:bCs/>
                <w:sz w:val="20"/>
                <w:szCs w:val="20"/>
                <w:lang w:bidi="ar"/>
              </w:rPr>
              <w:t>25</w:t>
            </w:r>
          </w:p>
        </w:tc>
        <w:tc>
          <w:tcPr>
            <w:tcW w:w="1085" w:type="dxa"/>
            <w:vMerge w:val="restart"/>
            <w:tcBorders>
              <w:top w:val="single" w:color="auto" w:sz="6" w:space="0"/>
              <w:left w:val="single" w:color="auto" w:sz="6" w:space="0"/>
              <w:bottom w:val="single" w:color="auto" w:sz="6" w:space="0"/>
              <w:right w:val="single" w:color="auto" w:sz="12" w:space="0"/>
            </w:tcBorders>
            <w:noWrap w:val="0"/>
            <w:vAlign w:val="center"/>
          </w:tcPr>
          <w:p w14:paraId="0DCE0B2F">
            <w:pPr>
              <w:widowControl/>
              <w:jc w:val="center"/>
              <w:rPr>
                <w:rFonts w:ascii="宋体" w:hAnsi="宋体"/>
                <w:bCs/>
                <w:sz w:val="20"/>
                <w:szCs w:val="20"/>
              </w:rPr>
            </w:pPr>
            <w:r>
              <w:rPr>
                <w:rFonts w:ascii="宋体" w:hAnsi="宋体"/>
                <w:bCs/>
                <w:sz w:val="20"/>
                <w:szCs w:val="20"/>
                <w:lang w:bidi="ar"/>
              </w:rPr>
              <w:t>25</w:t>
            </w:r>
          </w:p>
        </w:tc>
      </w:tr>
      <w:tr w14:paraId="0D41E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7" w:type="dxa"/>
            <w:gridSpan w:val="3"/>
            <w:vMerge w:val="restart"/>
            <w:tcBorders>
              <w:top w:val="single" w:color="auto" w:sz="6" w:space="0"/>
              <w:left w:val="single" w:color="auto" w:sz="12" w:space="0"/>
              <w:bottom w:val="single" w:color="auto" w:sz="6" w:space="0"/>
              <w:right w:val="single" w:color="auto" w:sz="6" w:space="0"/>
            </w:tcBorders>
            <w:noWrap w:val="0"/>
            <w:vAlign w:val="center"/>
          </w:tcPr>
          <w:p w14:paraId="4A6F21A7">
            <w:pPr>
              <w:widowControl/>
              <w:jc w:val="center"/>
              <w:rPr>
                <w:rFonts w:hint="eastAsia" w:ascii="宋体" w:hAnsi="宋体"/>
                <w:bCs/>
                <w:sz w:val="20"/>
                <w:szCs w:val="20"/>
                <w:lang w:bidi="ar"/>
              </w:rPr>
            </w:pPr>
            <w:r>
              <w:rPr>
                <w:rFonts w:ascii="宋体" w:hAnsi="宋体"/>
                <w:bCs/>
                <w:sz w:val="20"/>
                <w:szCs w:val="20"/>
                <w:lang w:bidi="ar"/>
              </w:rPr>
              <w:t>民用建筑</w:t>
            </w:r>
          </w:p>
          <w:p w14:paraId="3AA28D48">
            <w:pPr>
              <w:widowControl/>
              <w:jc w:val="center"/>
              <w:rPr>
                <w:rFonts w:ascii="宋体" w:hAnsi="宋体"/>
                <w:bCs/>
                <w:sz w:val="20"/>
                <w:szCs w:val="20"/>
              </w:rPr>
            </w:pPr>
            <w:r>
              <w:rPr>
                <w:rFonts w:ascii="宋体" w:hAnsi="宋体"/>
                <w:bCs/>
                <w:sz w:val="20"/>
                <w:szCs w:val="20"/>
                <w:lang w:bidi="ar"/>
              </w:rPr>
              <w:t>保护物类别</w:t>
            </w:r>
          </w:p>
        </w:tc>
        <w:tc>
          <w:tcPr>
            <w:tcW w:w="2281" w:type="dxa"/>
            <w:tcBorders>
              <w:top w:val="single" w:color="auto" w:sz="6" w:space="0"/>
              <w:left w:val="single" w:color="auto" w:sz="6" w:space="0"/>
              <w:bottom w:val="single" w:color="auto" w:sz="6" w:space="0"/>
              <w:right w:val="single" w:color="auto" w:sz="6" w:space="0"/>
            </w:tcBorders>
            <w:noWrap w:val="0"/>
            <w:vAlign w:val="center"/>
          </w:tcPr>
          <w:p w14:paraId="7C230106">
            <w:pPr>
              <w:widowControl/>
              <w:jc w:val="center"/>
              <w:rPr>
                <w:rFonts w:ascii="宋体" w:hAnsi="宋体"/>
                <w:bCs/>
                <w:sz w:val="20"/>
                <w:szCs w:val="20"/>
              </w:rPr>
            </w:pPr>
            <w:r>
              <w:rPr>
                <w:rFonts w:ascii="宋体" w:hAnsi="宋体"/>
                <w:bCs/>
                <w:sz w:val="20"/>
                <w:szCs w:val="20"/>
                <w:lang w:bidi="ar"/>
              </w:rPr>
              <w:t>一类保护物</w:t>
            </w:r>
          </w:p>
        </w:tc>
        <w:tc>
          <w:tcPr>
            <w:tcW w:w="1091" w:type="dxa"/>
            <w:vMerge w:val="continue"/>
            <w:tcBorders>
              <w:top w:val="single" w:color="auto" w:sz="6" w:space="0"/>
              <w:left w:val="single" w:color="auto" w:sz="6" w:space="0"/>
              <w:bottom w:val="single" w:color="auto" w:sz="6" w:space="0"/>
              <w:right w:val="single" w:color="auto" w:sz="6" w:space="0"/>
            </w:tcBorders>
            <w:noWrap w:val="0"/>
            <w:vAlign w:val="center"/>
          </w:tcPr>
          <w:p w14:paraId="00A0F02C">
            <w:pPr>
              <w:jc w:val="center"/>
              <w:rPr>
                <w:rFonts w:ascii="宋体" w:hAnsi="宋体"/>
                <w:sz w:val="20"/>
                <w:szCs w:val="20"/>
              </w:rPr>
            </w:pPr>
          </w:p>
        </w:tc>
        <w:tc>
          <w:tcPr>
            <w:tcW w:w="900" w:type="dxa"/>
            <w:vMerge w:val="continue"/>
            <w:tcBorders>
              <w:top w:val="single" w:color="auto" w:sz="6" w:space="0"/>
              <w:left w:val="single" w:color="auto" w:sz="6" w:space="0"/>
              <w:bottom w:val="single" w:color="auto" w:sz="6" w:space="0"/>
              <w:right w:val="single" w:color="auto" w:sz="6" w:space="0"/>
            </w:tcBorders>
            <w:noWrap w:val="0"/>
            <w:vAlign w:val="center"/>
          </w:tcPr>
          <w:p w14:paraId="0F1CC822">
            <w:pPr>
              <w:jc w:val="center"/>
              <w:rPr>
                <w:rFonts w:ascii="宋体" w:hAnsi="宋体"/>
                <w:sz w:val="20"/>
                <w:szCs w:val="20"/>
              </w:rPr>
            </w:pPr>
          </w:p>
        </w:tc>
        <w:tc>
          <w:tcPr>
            <w:tcW w:w="895" w:type="dxa"/>
            <w:vMerge w:val="continue"/>
            <w:tcBorders>
              <w:top w:val="single" w:color="auto" w:sz="6" w:space="0"/>
              <w:left w:val="single" w:color="auto" w:sz="6" w:space="0"/>
              <w:bottom w:val="single" w:color="auto" w:sz="6" w:space="0"/>
              <w:right w:val="single" w:color="auto" w:sz="6" w:space="0"/>
            </w:tcBorders>
            <w:noWrap w:val="0"/>
            <w:vAlign w:val="center"/>
          </w:tcPr>
          <w:p w14:paraId="7FF99C2C">
            <w:pPr>
              <w:jc w:val="center"/>
              <w:rPr>
                <w:rFonts w:ascii="宋体" w:hAnsi="宋体"/>
                <w:sz w:val="20"/>
                <w:szCs w:val="20"/>
              </w:rPr>
            </w:pPr>
          </w:p>
        </w:tc>
        <w:tc>
          <w:tcPr>
            <w:tcW w:w="961" w:type="dxa"/>
            <w:vMerge w:val="continue"/>
            <w:tcBorders>
              <w:top w:val="single" w:color="auto" w:sz="6" w:space="0"/>
              <w:left w:val="single" w:color="auto" w:sz="6" w:space="0"/>
              <w:bottom w:val="single" w:color="auto" w:sz="6" w:space="0"/>
              <w:right w:val="single" w:color="auto" w:sz="6" w:space="0"/>
            </w:tcBorders>
            <w:noWrap w:val="0"/>
            <w:vAlign w:val="center"/>
          </w:tcPr>
          <w:p w14:paraId="22A9798B">
            <w:pPr>
              <w:jc w:val="center"/>
              <w:rPr>
                <w:rFonts w:ascii="宋体" w:hAnsi="宋体"/>
                <w:sz w:val="20"/>
                <w:szCs w:val="20"/>
              </w:rPr>
            </w:pPr>
          </w:p>
        </w:tc>
        <w:tc>
          <w:tcPr>
            <w:tcW w:w="1085" w:type="dxa"/>
            <w:vMerge w:val="continue"/>
            <w:tcBorders>
              <w:top w:val="single" w:color="auto" w:sz="6" w:space="0"/>
              <w:left w:val="single" w:color="auto" w:sz="6" w:space="0"/>
              <w:bottom w:val="single" w:color="auto" w:sz="6" w:space="0"/>
              <w:right w:val="single" w:color="auto" w:sz="12" w:space="0"/>
            </w:tcBorders>
            <w:noWrap w:val="0"/>
            <w:vAlign w:val="center"/>
          </w:tcPr>
          <w:p w14:paraId="6D70B970">
            <w:pPr>
              <w:jc w:val="center"/>
              <w:rPr>
                <w:rFonts w:ascii="宋体" w:hAnsi="宋体"/>
                <w:sz w:val="20"/>
                <w:szCs w:val="20"/>
              </w:rPr>
            </w:pPr>
          </w:p>
        </w:tc>
      </w:tr>
      <w:tr w14:paraId="768306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7" w:type="dxa"/>
            <w:gridSpan w:val="3"/>
            <w:vMerge w:val="continue"/>
            <w:tcBorders>
              <w:top w:val="single" w:color="auto" w:sz="6" w:space="0"/>
              <w:left w:val="single" w:color="auto" w:sz="12" w:space="0"/>
              <w:bottom w:val="single" w:color="auto" w:sz="6" w:space="0"/>
              <w:right w:val="single" w:color="auto" w:sz="6" w:space="0"/>
            </w:tcBorders>
            <w:noWrap w:val="0"/>
            <w:vAlign w:val="center"/>
          </w:tcPr>
          <w:p w14:paraId="76D92D11">
            <w:pPr>
              <w:jc w:val="center"/>
              <w:rPr>
                <w:rFonts w:ascii="宋体" w:hAnsi="宋体"/>
                <w:sz w:val="20"/>
                <w:szCs w:val="20"/>
              </w:rPr>
            </w:pPr>
          </w:p>
        </w:tc>
        <w:tc>
          <w:tcPr>
            <w:tcW w:w="2281" w:type="dxa"/>
            <w:tcBorders>
              <w:top w:val="single" w:color="auto" w:sz="6" w:space="0"/>
              <w:left w:val="single" w:color="auto" w:sz="6" w:space="0"/>
              <w:bottom w:val="single" w:color="auto" w:sz="6" w:space="0"/>
              <w:right w:val="single" w:color="auto" w:sz="6" w:space="0"/>
            </w:tcBorders>
            <w:noWrap w:val="0"/>
            <w:vAlign w:val="center"/>
          </w:tcPr>
          <w:p w14:paraId="7A822894">
            <w:pPr>
              <w:widowControl/>
              <w:jc w:val="center"/>
              <w:rPr>
                <w:rFonts w:ascii="宋体" w:hAnsi="宋体"/>
                <w:bCs/>
                <w:sz w:val="20"/>
                <w:szCs w:val="20"/>
              </w:rPr>
            </w:pPr>
            <w:r>
              <w:rPr>
                <w:rFonts w:ascii="宋体" w:hAnsi="宋体"/>
                <w:bCs/>
                <w:sz w:val="20"/>
                <w:szCs w:val="20"/>
                <w:lang w:bidi="ar"/>
              </w:rPr>
              <w:t>二类保护物</w:t>
            </w:r>
          </w:p>
        </w:tc>
        <w:tc>
          <w:tcPr>
            <w:tcW w:w="1091" w:type="dxa"/>
            <w:tcBorders>
              <w:top w:val="single" w:color="auto" w:sz="6" w:space="0"/>
              <w:left w:val="single" w:color="auto" w:sz="6" w:space="0"/>
              <w:bottom w:val="single" w:color="auto" w:sz="6" w:space="0"/>
              <w:right w:val="single" w:color="auto" w:sz="6" w:space="0"/>
            </w:tcBorders>
            <w:noWrap w:val="0"/>
            <w:vAlign w:val="center"/>
          </w:tcPr>
          <w:p w14:paraId="6B8D7C2D">
            <w:pPr>
              <w:widowControl/>
              <w:jc w:val="center"/>
              <w:rPr>
                <w:rFonts w:ascii="宋体" w:hAnsi="宋体"/>
                <w:bCs/>
                <w:sz w:val="20"/>
                <w:szCs w:val="20"/>
              </w:rPr>
            </w:pPr>
            <w:r>
              <w:rPr>
                <w:rFonts w:ascii="宋体" w:hAnsi="宋体"/>
                <w:bCs/>
                <w:sz w:val="20"/>
                <w:szCs w:val="20"/>
                <w:lang w:bidi="ar"/>
              </w:rPr>
              <w:t>25</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06099C2">
            <w:pPr>
              <w:widowControl/>
              <w:jc w:val="center"/>
              <w:rPr>
                <w:rFonts w:ascii="宋体" w:hAnsi="宋体"/>
                <w:bCs/>
                <w:sz w:val="20"/>
                <w:szCs w:val="20"/>
              </w:rPr>
            </w:pPr>
            <w:r>
              <w:rPr>
                <w:rFonts w:ascii="宋体" w:hAnsi="宋体"/>
                <w:bCs/>
                <w:sz w:val="20"/>
                <w:szCs w:val="20"/>
                <w:lang w:bidi="ar"/>
              </w:rPr>
              <w:t>20</w:t>
            </w:r>
          </w:p>
        </w:tc>
        <w:tc>
          <w:tcPr>
            <w:tcW w:w="895" w:type="dxa"/>
            <w:tcBorders>
              <w:top w:val="single" w:color="auto" w:sz="6" w:space="0"/>
              <w:left w:val="single" w:color="auto" w:sz="6" w:space="0"/>
              <w:bottom w:val="single" w:color="auto" w:sz="6" w:space="0"/>
              <w:right w:val="single" w:color="auto" w:sz="6" w:space="0"/>
            </w:tcBorders>
            <w:noWrap w:val="0"/>
            <w:vAlign w:val="center"/>
          </w:tcPr>
          <w:p w14:paraId="1DB8D95F">
            <w:pPr>
              <w:widowControl/>
              <w:jc w:val="center"/>
              <w:rPr>
                <w:rFonts w:ascii="宋体" w:hAnsi="宋体"/>
                <w:bCs/>
                <w:sz w:val="20"/>
                <w:szCs w:val="20"/>
              </w:rPr>
            </w:pPr>
            <w:r>
              <w:rPr>
                <w:rFonts w:ascii="宋体" w:hAnsi="宋体"/>
                <w:bCs/>
                <w:sz w:val="20"/>
                <w:szCs w:val="20"/>
                <w:lang w:bidi="ar"/>
              </w:rPr>
              <w:t>16</w:t>
            </w:r>
          </w:p>
        </w:tc>
        <w:tc>
          <w:tcPr>
            <w:tcW w:w="961" w:type="dxa"/>
            <w:tcBorders>
              <w:top w:val="single" w:color="auto" w:sz="6" w:space="0"/>
              <w:left w:val="single" w:color="auto" w:sz="6" w:space="0"/>
              <w:bottom w:val="single" w:color="auto" w:sz="6" w:space="0"/>
              <w:right w:val="single" w:color="auto" w:sz="6" w:space="0"/>
            </w:tcBorders>
            <w:noWrap w:val="0"/>
            <w:vAlign w:val="center"/>
          </w:tcPr>
          <w:p w14:paraId="2A5E146F">
            <w:pPr>
              <w:widowControl/>
              <w:jc w:val="center"/>
              <w:rPr>
                <w:rFonts w:ascii="宋体" w:hAnsi="宋体"/>
                <w:bCs/>
                <w:sz w:val="20"/>
                <w:szCs w:val="20"/>
              </w:rPr>
            </w:pPr>
            <w:r>
              <w:rPr>
                <w:rFonts w:ascii="宋体" w:hAnsi="宋体"/>
                <w:bCs/>
                <w:sz w:val="20"/>
                <w:szCs w:val="20"/>
                <w:lang w:bidi="ar"/>
              </w:rPr>
              <w:t>16</w:t>
            </w:r>
          </w:p>
        </w:tc>
        <w:tc>
          <w:tcPr>
            <w:tcW w:w="1085" w:type="dxa"/>
            <w:tcBorders>
              <w:top w:val="single" w:color="auto" w:sz="6" w:space="0"/>
              <w:left w:val="single" w:color="auto" w:sz="6" w:space="0"/>
              <w:bottom w:val="single" w:color="auto" w:sz="6" w:space="0"/>
              <w:right w:val="single" w:color="auto" w:sz="12" w:space="0"/>
            </w:tcBorders>
            <w:noWrap w:val="0"/>
            <w:vAlign w:val="center"/>
          </w:tcPr>
          <w:p w14:paraId="38474B17">
            <w:pPr>
              <w:widowControl/>
              <w:jc w:val="center"/>
              <w:rPr>
                <w:rFonts w:ascii="宋体" w:hAnsi="宋体"/>
                <w:bCs/>
                <w:sz w:val="20"/>
                <w:szCs w:val="20"/>
              </w:rPr>
            </w:pPr>
            <w:r>
              <w:rPr>
                <w:rFonts w:ascii="宋体" w:hAnsi="宋体"/>
                <w:bCs/>
                <w:sz w:val="20"/>
                <w:szCs w:val="20"/>
                <w:lang w:bidi="ar"/>
              </w:rPr>
              <w:t>16</w:t>
            </w:r>
          </w:p>
        </w:tc>
      </w:tr>
      <w:tr w14:paraId="32E4A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7" w:type="dxa"/>
            <w:gridSpan w:val="3"/>
            <w:vMerge w:val="continue"/>
            <w:tcBorders>
              <w:top w:val="single" w:color="auto" w:sz="6" w:space="0"/>
              <w:left w:val="single" w:color="auto" w:sz="12" w:space="0"/>
              <w:bottom w:val="single" w:color="auto" w:sz="6" w:space="0"/>
              <w:right w:val="single" w:color="auto" w:sz="6" w:space="0"/>
            </w:tcBorders>
            <w:noWrap w:val="0"/>
            <w:vAlign w:val="center"/>
          </w:tcPr>
          <w:p w14:paraId="34BD4911">
            <w:pPr>
              <w:jc w:val="center"/>
              <w:rPr>
                <w:rFonts w:ascii="宋体" w:hAnsi="宋体"/>
                <w:sz w:val="20"/>
                <w:szCs w:val="20"/>
              </w:rPr>
            </w:pPr>
          </w:p>
        </w:tc>
        <w:tc>
          <w:tcPr>
            <w:tcW w:w="2281" w:type="dxa"/>
            <w:tcBorders>
              <w:top w:val="single" w:color="auto" w:sz="6" w:space="0"/>
              <w:left w:val="single" w:color="auto" w:sz="6" w:space="0"/>
              <w:bottom w:val="single" w:color="auto" w:sz="6" w:space="0"/>
              <w:right w:val="single" w:color="auto" w:sz="6" w:space="0"/>
            </w:tcBorders>
            <w:noWrap w:val="0"/>
            <w:vAlign w:val="center"/>
          </w:tcPr>
          <w:p w14:paraId="7F3BE66E">
            <w:pPr>
              <w:widowControl/>
              <w:jc w:val="center"/>
              <w:rPr>
                <w:rFonts w:ascii="宋体" w:hAnsi="宋体"/>
                <w:bCs/>
                <w:sz w:val="20"/>
                <w:szCs w:val="20"/>
              </w:rPr>
            </w:pPr>
            <w:r>
              <w:rPr>
                <w:rFonts w:ascii="宋体" w:hAnsi="宋体"/>
                <w:bCs/>
                <w:sz w:val="20"/>
                <w:szCs w:val="20"/>
                <w:lang w:bidi="ar"/>
              </w:rPr>
              <w:t>三类保护物</w:t>
            </w:r>
          </w:p>
        </w:tc>
        <w:tc>
          <w:tcPr>
            <w:tcW w:w="1091" w:type="dxa"/>
            <w:tcBorders>
              <w:top w:val="single" w:color="auto" w:sz="6" w:space="0"/>
              <w:left w:val="single" w:color="auto" w:sz="6" w:space="0"/>
              <w:bottom w:val="single" w:color="auto" w:sz="6" w:space="0"/>
              <w:right w:val="single" w:color="auto" w:sz="6" w:space="0"/>
            </w:tcBorders>
            <w:noWrap w:val="0"/>
            <w:vAlign w:val="center"/>
          </w:tcPr>
          <w:p w14:paraId="1D681BDE">
            <w:pPr>
              <w:widowControl/>
              <w:jc w:val="center"/>
              <w:rPr>
                <w:rFonts w:ascii="宋体" w:hAnsi="宋体"/>
                <w:bCs/>
                <w:sz w:val="20"/>
                <w:szCs w:val="20"/>
              </w:rPr>
            </w:pPr>
            <w:r>
              <w:rPr>
                <w:rFonts w:ascii="宋体" w:hAnsi="宋体"/>
                <w:bCs/>
                <w:sz w:val="20"/>
                <w:szCs w:val="20"/>
                <w:lang w:bidi="ar"/>
              </w:rPr>
              <w:t>18</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E0E2C39">
            <w:pPr>
              <w:widowControl/>
              <w:jc w:val="center"/>
              <w:rPr>
                <w:rFonts w:ascii="宋体" w:hAnsi="宋体"/>
                <w:bCs/>
                <w:sz w:val="20"/>
                <w:szCs w:val="20"/>
              </w:rPr>
            </w:pPr>
            <w:r>
              <w:rPr>
                <w:rFonts w:ascii="宋体" w:hAnsi="宋体"/>
                <w:bCs/>
                <w:sz w:val="20"/>
                <w:szCs w:val="20"/>
                <w:lang w:bidi="ar"/>
              </w:rPr>
              <w:t>16</w:t>
            </w:r>
          </w:p>
        </w:tc>
        <w:tc>
          <w:tcPr>
            <w:tcW w:w="895" w:type="dxa"/>
            <w:tcBorders>
              <w:top w:val="single" w:color="auto" w:sz="6" w:space="0"/>
              <w:left w:val="single" w:color="auto" w:sz="6" w:space="0"/>
              <w:bottom w:val="single" w:color="auto" w:sz="6" w:space="0"/>
              <w:right w:val="single" w:color="auto" w:sz="6" w:space="0"/>
            </w:tcBorders>
            <w:noWrap w:val="0"/>
            <w:vAlign w:val="center"/>
          </w:tcPr>
          <w:p w14:paraId="05CCB3F3">
            <w:pPr>
              <w:widowControl/>
              <w:jc w:val="center"/>
              <w:rPr>
                <w:rFonts w:ascii="宋体" w:hAnsi="宋体"/>
                <w:bCs/>
                <w:sz w:val="20"/>
                <w:szCs w:val="20"/>
              </w:rPr>
            </w:pPr>
            <w:r>
              <w:rPr>
                <w:rFonts w:ascii="宋体" w:hAnsi="宋体"/>
                <w:bCs/>
                <w:sz w:val="20"/>
                <w:szCs w:val="20"/>
                <w:lang w:bidi="ar"/>
              </w:rPr>
              <w:t>14</w:t>
            </w:r>
          </w:p>
        </w:tc>
        <w:tc>
          <w:tcPr>
            <w:tcW w:w="961" w:type="dxa"/>
            <w:tcBorders>
              <w:top w:val="single" w:color="auto" w:sz="6" w:space="0"/>
              <w:left w:val="single" w:color="auto" w:sz="6" w:space="0"/>
              <w:bottom w:val="single" w:color="auto" w:sz="6" w:space="0"/>
              <w:right w:val="single" w:color="auto" w:sz="6" w:space="0"/>
            </w:tcBorders>
            <w:noWrap w:val="0"/>
            <w:vAlign w:val="center"/>
          </w:tcPr>
          <w:p w14:paraId="0304F031">
            <w:pPr>
              <w:widowControl/>
              <w:jc w:val="center"/>
              <w:rPr>
                <w:rFonts w:ascii="宋体" w:hAnsi="宋体"/>
                <w:bCs/>
                <w:sz w:val="20"/>
                <w:szCs w:val="20"/>
              </w:rPr>
            </w:pPr>
            <w:r>
              <w:rPr>
                <w:rFonts w:ascii="宋体" w:hAnsi="宋体"/>
                <w:bCs/>
                <w:sz w:val="20"/>
                <w:szCs w:val="20"/>
                <w:lang w:bidi="ar"/>
              </w:rPr>
              <w:t>14</w:t>
            </w:r>
          </w:p>
        </w:tc>
        <w:tc>
          <w:tcPr>
            <w:tcW w:w="1085" w:type="dxa"/>
            <w:tcBorders>
              <w:top w:val="single" w:color="auto" w:sz="6" w:space="0"/>
              <w:left w:val="single" w:color="auto" w:sz="6" w:space="0"/>
              <w:bottom w:val="single" w:color="auto" w:sz="6" w:space="0"/>
              <w:right w:val="single" w:color="auto" w:sz="12" w:space="0"/>
            </w:tcBorders>
            <w:noWrap w:val="0"/>
            <w:vAlign w:val="center"/>
          </w:tcPr>
          <w:p w14:paraId="3535B83F">
            <w:pPr>
              <w:widowControl/>
              <w:jc w:val="center"/>
              <w:rPr>
                <w:rFonts w:ascii="宋体" w:hAnsi="宋体"/>
                <w:bCs/>
                <w:sz w:val="20"/>
                <w:szCs w:val="20"/>
              </w:rPr>
            </w:pPr>
            <w:r>
              <w:rPr>
                <w:rFonts w:ascii="宋体" w:hAnsi="宋体"/>
                <w:bCs/>
                <w:sz w:val="20"/>
                <w:szCs w:val="20"/>
                <w:lang w:bidi="ar"/>
              </w:rPr>
              <w:t>14</w:t>
            </w:r>
          </w:p>
        </w:tc>
      </w:tr>
      <w:tr w14:paraId="2B8A2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14:paraId="2B4C7A9A">
            <w:pPr>
              <w:widowControl/>
              <w:rPr>
                <w:rFonts w:ascii="宋体" w:hAnsi="宋体"/>
                <w:bCs/>
                <w:sz w:val="20"/>
                <w:szCs w:val="20"/>
              </w:rPr>
            </w:pPr>
            <w:r>
              <w:rPr>
                <w:rFonts w:ascii="宋体" w:hAnsi="宋体"/>
                <w:bCs/>
                <w:sz w:val="20"/>
                <w:szCs w:val="20"/>
                <w:lang w:bidi="ar"/>
              </w:rPr>
              <w:t>甲、乙类生产厂房、库房和甲、乙类液体储罐</w:t>
            </w:r>
          </w:p>
        </w:tc>
        <w:tc>
          <w:tcPr>
            <w:tcW w:w="1091" w:type="dxa"/>
            <w:tcBorders>
              <w:top w:val="single" w:color="auto" w:sz="6" w:space="0"/>
              <w:left w:val="single" w:color="auto" w:sz="6" w:space="0"/>
              <w:bottom w:val="single" w:color="auto" w:sz="6" w:space="0"/>
              <w:right w:val="single" w:color="auto" w:sz="6" w:space="0"/>
            </w:tcBorders>
            <w:noWrap w:val="0"/>
            <w:vAlign w:val="center"/>
          </w:tcPr>
          <w:p w14:paraId="64989E9C">
            <w:pPr>
              <w:widowControl/>
              <w:jc w:val="center"/>
              <w:rPr>
                <w:rFonts w:ascii="宋体" w:hAnsi="宋体"/>
                <w:bCs/>
                <w:sz w:val="20"/>
                <w:szCs w:val="20"/>
              </w:rPr>
            </w:pPr>
            <w:r>
              <w:rPr>
                <w:rFonts w:ascii="宋体" w:hAnsi="宋体"/>
                <w:bCs/>
                <w:sz w:val="20"/>
                <w:szCs w:val="20"/>
                <w:lang w:bidi="ar"/>
              </w:rPr>
              <w:t>35</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4A66CF2">
            <w:pPr>
              <w:widowControl/>
              <w:jc w:val="center"/>
              <w:rPr>
                <w:rFonts w:ascii="宋体" w:hAnsi="宋体"/>
                <w:bCs/>
                <w:sz w:val="20"/>
                <w:szCs w:val="20"/>
              </w:rPr>
            </w:pPr>
            <w:r>
              <w:rPr>
                <w:rFonts w:ascii="宋体" w:hAnsi="宋体"/>
                <w:bCs/>
                <w:sz w:val="20"/>
                <w:szCs w:val="20"/>
                <w:lang w:bidi="ar"/>
              </w:rPr>
              <w:t>30</w:t>
            </w:r>
          </w:p>
        </w:tc>
        <w:tc>
          <w:tcPr>
            <w:tcW w:w="895" w:type="dxa"/>
            <w:tcBorders>
              <w:top w:val="single" w:color="auto" w:sz="6" w:space="0"/>
              <w:left w:val="single" w:color="auto" w:sz="6" w:space="0"/>
              <w:bottom w:val="single" w:color="auto" w:sz="6" w:space="0"/>
              <w:right w:val="single" w:color="auto" w:sz="6" w:space="0"/>
            </w:tcBorders>
            <w:noWrap w:val="0"/>
            <w:vAlign w:val="center"/>
          </w:tcPr>
          <w:p w14:paraId="7BC18BB5">
            <w:pPr>
              <w:widowControl/>
              <w:jc w:val="center"/>
              <w:rPr>
                <w:rFonts w:ascii="宋体" w:hAnsi="宋体"/>
                <w:bCs/>
                <w:sz w:val="20"/>
                <w:szCs w:val="20"/>
              </w:rPr>
            </w:pPr>
            <w:r>
              <w:rPr>
                <w:rFonts w:ascii="宋体" w:hAnsi="宋体"/>
                <w:bCs/>
                <w:sz w:val="20"/>
                <w:szCs w:val="20"/>
                <w:lang w:bidi="ar"/>
              </w:rPr>
              <w:t>25</w:t>
            </w:r>
          </w:p>
        </w:tc>
        <w:tc>
          <w:tcPr>
            <w:tcW w:w="961" w:type="dxa"/>
            <w:tcBorders>
              <w:top w:val="single" w:color="auto" w:sz="6" w:space="0"/>
              <w:left w:val="single" w:color="auto" w:sz="6" w:space="0"/>
              <w:bottom w:val="single" w:color="auto" w:sz="6" w:space="0"/>
              <w:right w:val="single" w:color="auto" w:sz="6" w:space="0"/>
            </w:tcBorders>
            <w:noWrap w:val="0"/>
            <w:vAlign w:val="center"/>
          </w:tcPr>
          <w:p w14:paraId="7070CF1E">
            <w:pPr>
              <w:widowControl/>
              <w:jc w:val="center"/>
              <w:rPr>
                <w:rFonts w:ascii="宋体" w:hAnsi="宋体"/>
                <w:bCs/>
                <w:sz w:val="20"/>
                <w:szCs w:val="20"/>
              </w:rPr>
            </w:pPr>
            <w:r>
              <w:rPr>
                <w:rFonts w:ascii="宋体" w:hAnsi="宋体"/>
                <w:bCs/>
                <w:sz w:val="20"/>
                <w:szCs w:val="20"/>
                <w:lang w:bidi="ar"/>
              </w:rPr>
              <w:t>25</w:t>
            </w:r>
          </w:p>
        </w:tc>
        <w:tc>
          <w:tcPr>
            <w:tcW w:w="1085" w:type="dxa"/>
            <w:tcBorders>
              <w:top w:val="single" w:color="auto" w:sz="6" w:space="0"/>
              <w:left w:val="single" w:color="auto" w:sz="6" w:space="0"/>
              <w:bottom w:val="single" w:color="auto" w:sz="6" w:space="0"/>
              <w:right w:val="single" w:color="auto" w:sz="12" w:space="0"/>
            </w:tcBorders>
            <w:noWrap w:val="0"/>
            <w:vAlign w:val="center"/>
          </w:tcPr>
          <w:p w14:paraId="382A4AE0">
            <w:pPr>
              <w:widowControl/>
              <w:jc w:val="center"/>
              <w:rPr>
                <w:rFonts w:ascii="宋体" w:hAnsi="宋体"/>
                <w:bCs/>
                <w:sz w:val="20"/>
                <w:szCs w:val="20"/>
              </w:rPr>
            </w:pPr>
            <w:r>
              <w:rPr>
                <w:rFonts w:ascii="宋体" w:hAnsi="宋体"/>
                <w:bCs/>
                <w:sz w:val="20"/>
                <w:szCs w:val="20"/>
                <w:lang w:bidi="ar"/>
              </w:rPr>
              <w:t>25</w:t>
            </w:r>
          </w:p>
        </w:tc>
      </w:tr>
      <w:tr w14:paraId="6B4668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14:paraId="0C89B35D">
            <w:pPr>
              <w:widowControl/>
              <w:rPr>
                <w:rFonts w:ascii="宋体" w:hAnsi="宋体"/>
                <w:bCs/>
                <w:sz w:val="20"/>
                <w:szCs w:val="20"/>
              </w:rPr>
            </w:pPr>
            <w:r>
              <w:rPr>
                <w:rFonts w:ascii="宋体" w:hAnsi="宋体"/>
                <w:bCs/>
                <w:sz w:val="20"/>
                <w:szCs w:val="20"/>
                <w:lang w:bidi="ar"/>
              </w:rPr>
              <w:t>丙、丁、戊类物品生产厂房、库房和丙类液体储罐，以及容积不大于50 m3的埋地甲、乙类液体储罐</w:t>
            </w:r>
          </w:p>
        </w:tc>
        <w:tc>
          <w:tcPr>
            <w:tcW w:w="1091" w:type="dxa"/>
            <w:tcBorders>
              <w:top w:val="single" w:color="auto" w:sz="6" w:space="0"/>
              <w:left w:val="single" w:color="auto" w:sz="6" w:space="0"/>
              <w:bottom w:val="single" w:color="auto" w:sz="6" w:space="0"/>
              <w:right w:val="single" w:color="auto" w:sz="6" w:space="0"/>
            </w:tcBorders>
            <w:noWrap w:val="0"/>
            <w:vAlign w:val="center"/>
          </w:tcPr>
          <w:p w14:paraId="40387BA6">
            <w:pPr>
              <w:widowControl/>
              <w:jc w:val="center"/>
              <w:rPr>
                <w:rFonts w:ascii="宋体" w:hAnsi="宋体"/>
                <w:bCs/>
                <w:sz w:val="20"/>
                <w:szCs w:val="20"/>
              </w:rPr>
            </w:pPr>
            <w:r>
              <w:rPr>
                <w:rFonts w:ascii="宋体" w:hAnsi="宋体"/>
                <w:bCs/>
                <w:sz w:val="20"/>
                <w:szCs w:val="20"/>
                <w:lang w:bidi="ar"/>
              </w:rPr>
              <w:t>25</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7F9276D">
            <w:pPr>
              <w:widowControl/>
              <w:jc w:val="center"/>
              <w:rPr>
                <w:rFonts w:ascii="宋体" w:hAnsi="宋体"/>
                <w:bCs/>
                <w:sz w:val="20"/>
                <w:szCs w:val="20"/>
              </w:rPr>
            </w:pPr>
            <w:r>
              <w:rPr>
                <w:rFonts w:ascii="宋体" w:hAnsi="宋体"/>
                <w:bCs/>
                <w:sz w:val="20"/>
                <w:szCs w:val="20"/>
                <w:lang w:bidi="ar"/>
              </w:rPr>
              <w:t>22</w:t>
            </w:r>
          </w:p>
        </w:tc>
        <w:tc>
          <w:tcPr>
            <w:tcW w:w="895" w:type="dxa"/>
            <w:tcBorders>
              <w:top w:val="single" w:color="auto" w:sz="6" w:space="0"/>
              <w:left w:val="single" w:color="auto" w:sz="6" w:space="0"/>
              <w:bottom w:val="single" w:color="auto" w:sz="6" w:space="0"/>
              <w:right w:val="single" w:color="auto" w:sz="6" w:space="0"/>
            </w:tcBorders>
            <w:noWrap w:val="0"/>
            <w:vAlign w:val="center"/>
          </w:tcPr>
          <w:p w14:paraId="7F28D61E">
            <w:pPr>
              <w:widowControl/>
              <w:jc w:val="center"/>
              <w:rPr>
                <w:rFonts w:ascii="宋体" w:hAnsi="宋体"/>
                <w:bCs/>
                <w:sz w:val="20"/>
                <w:szCs w:val="20"/>
              </w:rPr>
            </w:pPr>
            <w:r>
              <w:rPr>
                <w:rFonts w:ascii="宋体" w:hAnsi="宋体"/>
                <w:bCs/>
                <w:sz w:val="20"/>
                <w:szCs w:val="20"/>
                <w:lang w:bidi="ar"/>
              </w:rPr>
              <w:t>20</w:t>
            </w:r>
          </w:p>
        </w:tc>
        <w:tc>
          <w:tcPr>
            <w:tcW w:w="961" w:type="dxa"/>
            <w:tcBorders>
              <w:top w:val="single" w:color="auto" w:sz="6" w:space="0"/>
              <w:left w:val="single" w:color="auto" w:sz="6" w:space="0"/>
              <w:bottom w:val="single" w:color="auto" w:sz="6" w:space="0"/>
              <w:right w:val="single" w:color="auto" w:sz="6" w:space="0"/>
            </w:tcBorders>
            <w:noWrap w:val="0"/>
            <w:vAlign w:val="center"/>
          </w:tcPr>
          <w:p w14:paraId="52073310">
            <w:pPr>
              <w:widowControl/>
              <w:jc w:val="center"/>
              <w:rPr>
                <w:rFonts w:ascii="宋体" w:hAnsi="宋体"/>
                <w:bCs/>
                <w:sz w:val="20"/>
                <w:szCs w:val="20"/>
              </w:rPr>
            </w:pPr>
            <w:r>
              <w:rPr>
                <w:rFonts w:ascii="宋体" w:hAnsi="宋体"/>
                <w:bCs/>
                <w:sz w:val="20"/>
                <w:szCs w:val="20"/>
                <w:lang w:bidi="ar"/>
              </w:rPr>
              <w:t>20</w:t>
            </w:r>
          </w:p>
        </w:tc>
        <w:tc>
          <w:tcPr>
            <w:tcW w:w="1085" w:type="dxa"/>
            <w:tcBorders>
              <w:top w:val="single" w:color="auto" w:sz="6" w:space="0"/>
              <w:left w:val="single" w:color="auto" w:sz="6" w:space="0"/>
              <w:bottom w:val="single" w:color="auto" w:sz="6" w:space="0"/>
              <w:right w:val="single" w:color="auto" w:sz="12" w:space="0"/>
            </w:tcBorders>
            <w:noWrap w:val="0"/>
            <w:vAlign w:val="center"/>
          </w:tcPr>
          <w:p w14:paraId="35497F65">
            <w:pPr>
              <w:widowControl/>
              <w:jc w:val="center"/>
              <w:rPr>
                <w:rFonts w:ascii="宋体" w:hAnsi="宋体"/>
                <w:bCs/>
                <w:sz w:val="20"/>
                <w:szCs w:val="20"/>
              </w:rPr>
            </w:pPr>
            <w:r>
              <w:rPr>
                <w:rFonts w:ascii="宋体" w:hAnsi="宋体"/>
                <w:bCs/>
                <w:sz w:val="20"/>
                <w:szCs w:val="20"/>
                <w:lang w:bidi="ar"/>
              </w:rPr>
              <w:t>20</w:t>
            </w:r>
          </w:p>
        </w:tc>
      </w:tr>
      <w:tr w14:paraId="115F11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14:paraId="2C36AC07">
            <w:pPr>
              <w:widowControl/>
              <w:jc w:val="center"/>
              <w:rPr>
                <w:rFonts w:ascii="宋体" w:hAnsi="宋体"/>
                <w:bCs/>
                <w:sz w:val="20"/>
                <w:szCs w:val="20"/>
              </w:rPr>
            </w:pPr>
            <w:r>
              <w:rPr>
                <w:rFonts w:ascii="宋体" w:hAnsi="宋体"/>
                <w:bCs/>
                <w:sz w:val="20"/>
                <w:szCs w:val="20"/>
                <w:lang w:bidi="ar"/>
              </w:rPr>
              <w:t>室外变配电站</w:t>
            </w:r>
          </w:p>
        </w:tc>
        <w:tc>
          <w:tcPr>
            <w:tcW w:w="1091" w:type="dxa"/>
            <w:tcBorders>
              <w:top w:val="single" w:color="auto" w:sz="6" w:space="0"/>
              <w:left w:val="single" w:color="auto" w:sz="6" w:space="0"/>
              <w:bottom w:val="single" w:color="auto" w:sz="6" w:space="0"/>
              <w:right w:val="single" w:color="auto" w:sz="6" w:space="0"/>
            </w:tcBorders>
            <w:noWrap w:val="0"/>
            <w:vAlign w:val="center"/>
          </w:tcPr>
          <w:p w14:paraId="1137141D">
            <w:pPr>
              <w:widowControl/>
              <w:jc w:val="center"/>
              <w:rPr>
                <w:rFonts w:ascii="宋体" w:hAnsi="宋体"/>
                <w:bCs/>
                <w:sz w:val="20"/>
                <w:szCs w:val="20"/>
              </w:rPr>
            </w:pPr>
            <w:r>
              <w:rPr>
                <w:rFonts w:ascii="宋体" w:hAnsi="宋体"/>
                <w:bCs/>
                <w:sz w:val="20"/>
                <w:szCs w:val="20"/>
                <w:lang w:bidi="ar"/>
              </w:rPr>
              <w:t>40</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0009743">
            <w:pPr>
              <w:widowControl/>
              <w:jc w:val="center"/>
              <w:rPr>
                <w:rFonts w:ascii="宋体" w:hAnsi="宋体"/>
                <w:bCs/>
                <w:sz w:val="20"/>
                <w:szCs w:val="20"/>
              </w:rPr>
            </w:pPr>
            <w:r>
              <w:rPr>
                <w:rFonts w:ascii="宋体" w:hAnsi="宋体"/>
                <w:bCs/>
                <w:sz w:val="20"/>
                <w:szCs w:val="20"/>
                <w:lang w:bidi="ar"/>
              </w:rPr>
              <w:t>35</w:t>
            </w:r>
          </w:p>
        </w:tc>
        <w:tc>
          <w:tcPr>
            <w:tcW w:w="895" w:type="dxa"/>
            <w:tcBorders>
              <w:top w:val="single" w:color="auto" w:sz="6" w:space="0"/>
              <w:left w:val="single" w:color="auto" w:sz="6" w:space="0"/>
              <w:bottom w:val="single" w:color="auto" w:sz="6" w:space="0"/>
              <w:right w:val="single" w:color="auto" w:sz="6" w:space="0"/>
            </w:tcBorders>
            <w:noWrap w:val="0"/>
            <w:vAlign w:val="center"/>
          </w:tcPr>
          <w:p w14:paraId="430B5214">
            <w:pPr>
              <w:widowControl/>
              <w:jc w:val="center"/>
              <w:rPr>
                <w:rFonts w:ascii="宋体" w:hAnsi="宋体"/>
                <w:bCs/>
                <w:sz w:val="20"/>
                <w:szCs w:val="20"/>
              </w:rPr>
            </w:pPr>
            <w:r>
              <w:rPr>
                <w:rFonts w:ascii="宋体" w:hAnsi="宋体"/>
                <w:bCs/>
                <w:sz w:val="20"/>
                <w:szCs w:val="20"/>
                <w:lang w:bidi="ar"/>
              </w:rPr>
              <w:t>30</w:t>
            </w:r>
          </w:p>
        </w:tc>
        <w:tc>
          <w:tcPr>
            <w:tcW w:w="961" w:type="dxa"/>
            <w:tcBorders>
              <w:top w:val="single" w:color="auto" w:sz="6" w:space="0"/>
              <w:left w:val="single" w:color="auto" w:sz="6" w:space="0"/>
              <w:bottom w:val="single" w:color="auto" w:sz="6" w:space="0"/>
              <w:right w:val="single" w:color="auto" w:sz="6" w:space="0"/>
            </w:tcBorders>
            <w:noWrap w:val="0"/>
            <w:vAlign w:val="center"/>
          </w:tcPr>
          <w:p w14:paraId="0A261AD1">
            <w:pPr>
              <w:widowControl/>
              <w:jc w:val="center"/>
              <w:rPr>
                <w:rFonts w:ascii="宋体" w:hAnsi="宋体"/>
                <w:bCs/>
                <w:sz w:val="20"/>
                <w:szCs w:val="20"/>
              </w:rPr>
            </w:pPr>
            <w:r>
              <w:rPr>
                <w:rFonts w:ascii="宋体" w:hAnsi="宋体"/>
                <w:bCs/>
                <w:sz w:val="20"/>
                <w:szCs w:val="20"/>
                <w:lang w:bidi="ar"/>
              </w:rPr>
              <w:t>30</w:t>
            </w:r>
          </w:p>
        </w:tc>
        <w:tc>
          <w:tcPr>
            <w:tcW w:w="1085" w:type="dxa"/>
            <w:tcBorders>
              <w:top w:val="single" w:color="auto" w:sz="6" w:space="0"/>
              <w:left w:val="single" w:color="auto" w:sz="6" w:space="0"/>
              <w:bottom w:val="single" w:color="auto" w:sz="6" w:space="0"/>
              <w:right w:val="single" w:color="auto" w:sz="12" w:space="0"/>
            </w:tcBorders>
            <w:noWrap w:val="0"/>
            <w:vAlign w:val="center"/>
          </w:tcPr>
          <w:p w14:paraId="1A84E3FC">
            <w:pPr>
              <w:widowControl/>
              <w:jc w:val="center"/>
              <w:rPr>
                <w:rFonts w:ascii="宋体" w:hAnsi="宋体"/>
                <w:bCs/>
                <w:sz w:val="20"/>
                <w:szCs w:val="20"/>
              </w:rPr>
            </w:pPr>
            <w:r>
              <w:rPr>
                <w:rFonts w:ascii="宋体" w:hAnsi="宋体"/>
                <w:bCs/>
                <w:sz w:val="20"/>
                <w:szCs w:val="20"/>
                <w:lang w:bidi="ar"/>
              </w:rPr>
              <w:t>30</w:t>
            </w:r>
          </w:p>
        </w:tc>
      </w:tr>
      <w:tr w14:paraId="104DA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14:paraId="3B3CC5B0">
            <w:pPr>
              <w:widowControl/>
              <w:jc w:val="center"/>
              <w:rPr>
                <w:rFonts w:ascii="宋体" w:hAnsi="宋体"/>
                <w:bCs/>
                <w:sz w:val="20"/>
                <w:szCs w:val="20"/>
              </w:rPr>
            </w:pPr>
            <w:r>
              <w:rPr>
                <w:rFonts w:ascii="宋体" w:hAnsi="宋体"/>
                <w:bCs/>
                <w:sz w:val="20"/>
                <w:szCs w:val="20"/>
                <w:lang w:bidi="ar"/>
              </w:rPr>
              <w:t>铁路</w:t>
            </w:r>
          </w:p>
        </w:tc>
        <w:tc>
          <w:tcPr>
            <w:tcW w:w="1091" w:type="dxa"/>
            <w:tcBorders>
              <w:top w:val="single" w:color="auto" w:sz="6" w:space="0"/>
              <w:left w:val="single" w:color="auto" w:sz="6" w:space="0"/>
              <w:bottom w:val="single" w:color="auto" w:sz="6" w:space="0"/>
              <w:right w:val="single" w:color="auto" w:sz="6" w:space="0"/>
            </w:tcBorders>
            <w:noWrap w:val="0"/>
            <w:vAlign w:val="center"/>
          </w:tcPr>
          <w:p w14:paraId="007E15CD">
            <w:pPr>
              <w:widowControl/>
              <w:jc w:val="center"/>
              <w:rPr>
                <w:rFonts w:ascii="宋体" w:hAnsi="宋体"/>
                <w:bCs/>
                <w:sz w:val="20"/>
                <w:szCs w:val="20"/>
              </w:rPr>
            </w:pPr>
            <w:r>
              <w:rPr>
                <w:rFonts w:ascii="宋体" w:hAnsi="宋体"/>
                <w:bCs/>
                <w:sz w:val="20"/>
                <w:szCs w:val="20"/>
                <w:lang w:bidi="ar"/>
              </w:rPr>
              <w:t>80</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E5EC627">
            <w:pPr>
              <w:widowControl/>
              <w:jc w:val="center"/>
              <w:rPr>
                <w:rFonts w:ascii="宋体" w:hAnsi="宋体"/>
                <w:bCs/>
                <w:sz w:val="20"/>
                <w:szCs w:val="20"/>
              </w:rPr>
            </w:pPr>
            <w:r>
              <w:rPr>
                <w:rFonts w:ascii="宋体" w:hAnsi="宋体"/>
                <w:bCs/>
                <w:sz w:val="20"/>
                <w:szCs w:val="20"/>
                <w:lang w:bidi="ar"/>
              </w:rPr>
              <w:t>60</w:t>
            </w:r>
          </w:p>
        </w:tc>
        <w:tc>
          <w:tcPr>
            <w:tcW w:w="895" w:type="dxa"/>
            <w:tcBorders>
              <w:top w:val="single" w:color="auto" w:sz="6" w:space="0"/>
              <w:left w:val="single" w:color="auto" w:sz="6" w:space="0"/>
              <w:bottom w:val="single" w:color="auto" w:sz="6" w:space="0"/>
              <w:right w:val="single" w:color="auto" w:sz="6" w:space="0"/>
            </w:tcBorders>
            <w:noWrap w:val="0"/>
            <w:vAlign w:val="center"/>
          </w:tcPr>
          <w:p w14:paraId="174F6C2C">
            <w:pPr>
              <w:widowControl/>
              <w:jc w:val="center"/>
              <w:rPr>
                <w:rFonts w:ascii="宋体" w:hAnsi="宋体"/>
                <w:bCs/>
                <w:sz w:val="20"/>
                <w:szCs w:val="20"/>
              </w:rPr>
            </w:pPr>
            <w:r>
              <w:rPr>
                <w:rFonts w:ascii="宋体" w:hAnsi="宋体"/>
                <w:bCs/>
                <w:sz w:val="20"/>
                <w:szCs w:val="20"/>
                <w:lang w:bidi="ar"/>
              </w:rPr>
              <w:t>50</w:t>
            </w:r>
          </w:p>
        </w:tc>
        <w:tc>
          <w:tcPr>
            <w:tcW w:w="961" w:type="dxa"/>
            <w:tcBorders>
              <w:top w:val="single" w:color="auto" w:sz="6" w:space="0"/>
              <w:left w:val="single" w:color="auto" w:sz="6" w:space="0"/>
              <w:bottom w:val="single" w:color="auto" w:sz="6" w:space="0"/>
              <w:right w:val="single" w:color="auto" w:sz="6" w:space="0"/>
            </w:tcBorders>
            <w:noWrap w:val="0"/>
            <w:vAlign w:val="center"/>
          </w:tcPr>
          <w:p w14:paraId="24BE51B1">
            <w:pPr>
              <w:widowControl/>
              <w:jc w:val="center"/>
              <w:rPr>
                <w:rFonts w:ascii="宋体" w:hAnsi="宋体"/>
                <w:bCs/>
                <w:sz w:val="20"/>
                <w:szCs w:val="20"/>
              </w:rPr>
            </w:pPr>
            <w:r>
              <w:rPr>
                <w:rFonts w:ascii="宋体" w:hAnsi="宋体"/>
                <w:bCs/>
                <w:sz w:val="20"/>
                <w:szCs w:val="20"/>
                <w:lang w:bidi="ar"/>
              </w:rPr>
              <w:t>50</w:t>
            </w:r>
          </w:p>
        </w:tc>
        <w:tc>
          <w:tcPr>
            <w:tcW w:w="1085" w:type="dxa"/>
            <w:tcBorders>
              <w:top w:val="single" w:color="auto" w:sz="6" w:space="0"/>
              <w:left w:val="single" w:color="auto" w:sz="6" w:space="0"/>
              <w:bottom w:val="single" w:color="auto" w:sz="6" w:space="0"/>
              <w:right w:val="single" w:color="auto" w:sz="12" w:space="0"/>
            </w:tcBorders>
            <w:noWrap w:val="0"/>
            <w:vAlign w:val="center"/>
          </w:tcPr>
          <w:p w14:paraId="080F316E">
            <w:pPr>
              <w:widowControl/>
              <w:jc w:val="center"/>
              <w:rPr>
                <w:rFonts w:ascii="宋体" w:hAnsi="宋体"/>
                <w:bCs/>
                <w:sz w:val="20"/>
                <w:szCs w:val="20"/>
              </w:rPr>
            </w:pPr>
            <w:r>
              <w:rPr>
                <w:rFonts w:ascii="宋体" w:hAnsi="宋体"/>
                <w:bCs/>
                <w:sz w:val="20"/>
                <w:szCs w:val="20"/>
                <w:lang w:bidi="ar"/>
              </w:rPr>
              <w:t>50</w:t>
            </w:r>
          </w:p>
        </w:tc>
      </w:tr>
      <w:tr w14:paraId="32511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29" w:type="dxa"/>
            <w:vMerge w:val="restart"/>
            <w:tcBorders>
              <w:top w:val="single" w:color="auto" w:sz="6" w:space="0"/>
              <w:left w:val="single" w:color="auto" w:sz="12" w:space="0"/>
              <w:bottom w:val="single" w:color="auto" w:sz="6" w:space="0"/>
              <w:right w:val="single" w:color="auto" w:sz="6" w:space="0"/>
            </w:tcBorders>
            <w:noWrap w:val="0"/>
            <w:vAlign w:val="center"/>
          </w:tcPr>
          <w:p w14:paraId="4C4F3FDA">
            <w:pPr>
              <w:widowControl/>
              <w:jc w:val="center"/>
              <w:rPr>
                <w:rFonts w:ascii="宋体" w:hAnsi="宋体"/>
                <w:bCs/>
                <w:sz w:val="20"/>
                <w:szCs w:val="20"/>
              </w:rPr>
            </w:pPr>
            <w:r>
              <w:rPr>
                <w:rFonts w:ascii="宋体" w:hAnsi="宋体"/>
                <w:bCs/>
                <w:sz w:val="20"/>
                <w:szCs w:val="20"/>
                <w:lang w:bidi="ar"/>
              </w:rPr>
              <w:t>城市道路</w:t>
            </w:r>
          </w:p>
        </w:tc>
        <w:tc>
          <w:tcPr>
            <w:tcW w:w="2569" w:type="dxa"/>
            <w:gridSpan w:val="3"/>
            <w:tcBorders>
              <w:top w:val="single" w:color="auto" w:sz="6" w:space="0"/>
              <w:left w:val="single" w:color="auto" w:sz="6" w:space="0"/>
              <w:bottom w:val="single" w:color="auto" w:sz="6" w:space="0"/>
              <w:right w:val="single" w:color="auto" w:sz="6" w:space="0"/>
            </w:tcBorders>
            <w:noWrap w:val="0"/>
            <w:vAlign w:val="center"/>
          </w:tcPr>
          <w:p w14:paraId="3DFF8679">
            <w:pPr>
              <w:widowControl/>
              <w:jc w:val="center"/>
              <w:rPr>
                <w:rFonts w:ascii="宋体" w:hAnsi="宋体"/>
                <w:bCs/>
                <w:sz w:val="20"/>
                <w:szCs w:val="20"/>
              </w:rPr>
            </w:pPr>
            <w:r>
              <w:rPr>
                <w:rFonts w:ascii="宋体" w:hAnsi="宋体"/>
                <w:bCs/>
                <w:sz w:val="20"/>
                <w:szCs w:val="20"/>
                <w:lang w:bidi="ar"/>
              </w:rPr>
              <w:t>快速路、主干路</w:t>
            </w:r>
          </w:p>
        </w:tc>
        <w:tc>
          <w:tcPr>
            <w:tcW w:w="1091" w:type="dxa"/>
            <w:tcBorders>
              <w:top w:val="single" w:color="auto" w:sz="6" w:space="0"/>
              <w:left w:val="single" w:color="auto" w:sz="6" w:space="0"/>
              <w:bottom w:val="single" w:color="auto" w:sz="6" w:space="0"/>
              <w:right w:val="single" w:color="auto" w:sz="6" w:space="0"/>
            </w:tcBorders>
            <w:noWrap w:val="0"/>
            <w:vAlign w:val="center"/>
          </w:tcPr>
          <w:p w14:paraId="3B8B3FC5">
            <w:pPr>
              <w:widowControl/>
              <w:jc w:val="center"/>
              <w:rPr>
                <w:rFonts w:ascii="宋体" w:hAnsi="宋体"/>
                <w:bCs/>
                <w:sz w:val="20"/>
                <w:szCs w:val="20"/>
              </w:rPr>
            </w:pPr>
            <w:r>
              <w:rPr>
                <w:rFonts w:ascii="宋体" w:hAnsi="宋体"/>
                <w:bCs/>
                <w:sz w:val="20"/>
                <w:szCs w:val="20"/>
                <w:lang w:bidi="ar"/>
              </w:rPr>
              <w:t>12</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F357CA2">
            <w:pPr>
              <w:widowControl/>
              <w:jc w:val="center"/>
              <w:rPr>
                <w:rFonts w:ascii="宋体" w:hAnsi="宋体"/>
                <w:bCs/>
                <w:sz w:val="20"/>
                <w:szCs w:val="20"/>
              </w:rPr>
            </w:pPr>
            <w:r>
              <w:rPr>
                <w:rFonts w:ascii="宋体" w:hAnsi="宋体"/>
                <w:bCs/>
                <w:sz w:val="20"/>
                <w:szCs w:val="20"/>
                <w:lang w:bidi="ar"/>
              </w:rPr>
              <w:t>10</w:t>
            </w:r>
          </w:p>
        </w:tc>
        <w:tc>
          <w:tcPr>
            <w:tcW w:w="895" w:type="dxa"/>
            <w:tcBorders>
              <w:top w:val="single" w:color="auto" w:sz="6" w:space="0"/>
              <w:left w:val="single" w:color="auto" w:sz="6" w:space="0"/>
              <w:bottom w:val="single" w:color="auto" w:sz="6" w:space="0"/>
              <w:right w:val="single" w:color="auto" w:sz="6" w:space="0"/>
            </w:tcBorders>
            <w:noWrap w:val="0"/>
            <w:vAlign w:val="center"/>
          </w:tcPr>
          <w:p w14:paraId="19BC545C">
            <w:pPr>
              <w:widowControl/>
              <w:jc w:val="center"/>
              <w:rPr>
                <w:rFonts w:ascii="宋体" w:hAnsi="宋体"/>
                <w:bCs/>
                <w:sz w:val="20"/>
                <w:szCs w:val="20"/>
              </w:rPr>
            </w:pPr>
            <w:r>
              <w:rPr>
                <w:rFonts w:ascii="宋体" w:hAnsi="宋体"/>
                <w:bCs/>
                <w:sz w:val="20"/>
                <w:szCs w:val="20"/>
                <w:lang w:bidi="ar"/>
              </w:rPr>
              <w:t>8</w:t>
            </w:r>
          </w:p>
        </w:tc>
        <w:tc>
          <w:tcPr>
            <w:tcW w:w="961" w:type="dxa"/>
            <w:tcBorders>
              <w:top w:val="single" w:color="auto" w:sz="6" w:space="0"/>
              <w:left w:val="single" w:color="auto" w:sz="6" w:space="0"/>
              <w:bottom w:val="single" w:color="auto" w:sz="6" w:space="0"/>
              <w:right w:val="single" w:color="auto" w:sz="6" w:space="0"/>
            </w:tcBorders>
            <w:noWrap w:val="0"/>
            <w:vAlign w:val="center"/>
          </w:tcPr>
          <w:p w14:paraId="7BACD61B">
            <w:pPr>
              <w:widowControl/>
              <w:jc w:val="center"/>
              <w:rPr>
                <w:rFonts w:ascii="宋体" w:hAnsi="宋体"/>
                <w:bCs/>
                <w:sz w:val="20"/>
                <w:szCs w:val="20"/>
              </w:rPr>
            </w:pPr>
            <w:r>
              <w:rPr>
                <w:rFonts w:ascii="宋体" w:hAnsi="宋体"/>
                <w:bCs/>
                <w:sz w:val="20"/>
                <w:szCs w:val="20"/>
                <w:lang w:bidi="ar"/>
              </w:rPr>
              <w:t>8</w:t>
            </w:r>
          </w:p>
        </w:tc>
        <w:tc>
          <w:tcPr>
            <w:tcW w:w="1085" w:type="dxa"/>
            <w:tcBorders>
              <w:top w:val="single" w:color="auto" w:sz="6" w:space="0"/>
              <w:left w:val="single" w:color="auto" w:sz="6" w:space="0"/>
              <w:bottom w:val="single" w:color="auto" w:sz="6" w:space="0"/>
              <w:right w:val="single" w:color="auto" w:sz="12" w:space="0"/>
            </w:tcBorders>
            <w:noWrap w:val="0"/>
            <w:vAlign w:val="center"/>
          </w:tcPr>
          <w:p w14:paraId="21CA7F7B">
            <w:pPr>
              <w:widowControl/>
              <w:jc w:val="center"/>
              <w:rPr>
                <w:rFonts w:ascii="宋体" w:hAnsi="宋体"/>
                <w:bCs/>
                <w:sz w:val="20"/>
                <w:szCs w:val="20"/>
              </w:rPr>
            </w:pPr>
            <w:r>
              <w:rPr>
                <w:rFonts w:ascii="宋体" w:hAnsi="宋体"/>
                <w:bCs/>
                <w:sz w:val="20"/>
                <w:szCs w:val="20"/>
                <w:lang w:bidi="ar"/>
              </w:rPr>
              <w:t>8</w:t>
            </w:r>
          </w:p>
        </w:tc>
      </w:tr>
      <w:tr w14:paraId="360A43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29" w:type="dxa"/>
            <w:vMerge w:val="continue"/>
            <w:tcBorders>
              <w:top w:val="single" w:color="auto" w:sz="6" w:space="0"/>
              <w:left w:val="single" w:color="auto" w:sz="12" w:space="0"/>
              <w:bottom w:val="single" w:color="auto" w:sz="6" w:space="0"/>
              <w:right w:val="single" w:color="auto" w:sz="6" w:space="0"/>
            </w:tcBorders>
            <w:noWrap w:val="0"/>
            <w:vAlign w:val="center"/>
          </w:tcPr>
          <w:p w14:paraId="7129263B">
            <w:pPr>
              <w:jc w:val="center"/>
              <w:rPr>
                <w:rFonts w:ascii="宋体" w:hAnsi="宋体"/>
                <w:sz w:val="20"/>
                <w:szCs w:val="20"/>
              </w:rPr>
            </w:pPr>
          </w:p>
        </w:tc>
        <w:tc>
          <w:tcPr>
            <w:tcW w:w="2569" w:type="dxa"/>
            <w:gridSpan w:val="3"/>
            <w:tcBorders>
              <w:top w:val="single" w:color="auto" w:sz="6" w:space="0"/>
              <w:left w:val="single" w:color="auto" w:sz="6" w:space="0"/>
              <w:bottom w:val="single" w:color="auto" w:sz="6" w:space="0"/>
              <w:right w:val="single" w:color="auto" w:sz="6" w:space="0"/>
            </w:tcBorders>
            <w:noWrap w:val="0"/>
            <w:vAlign w:val="center"/>
          </w:tcPr>
          <w:p w14:paraId="4D8564CC">
            <w:pPr>
              <w:widowControl/>
              <w:jc w:val="center"/>
              <w:rPr>
                <w:rFonts w:ascii="宋体" w:hAnsi="宋体"/>
                <w:bCs/>
                <w:sz w:val="20"/>
                <w:szCs w:val="20"/>
              </w:rPr>
            </w:pPr>
            <w:r>
              <w:rPr>
                <w:rFonts w:ascii="宋体" w:hAnsi="宋体"/>
                <w:bCs/>
                <w:sz w:val="20"/>
                <w:szCs w:val="20"/>
                <w:lang w:bidi="ar"/>
              </w:rPr>
              <w:t>次干路、支路</w:t>
            </w:r>
          </w:p>
        </w:tc>
        <w:tc>
          <w:tcPr>
            <w:tcW w:w="1091" w:type="dxa"/>
            <w:tcBorders>
              <w:top w:val="single" w:color="auto" w:sz="6" w:space="0"/>
              <w:left w:val="single" w:color="auto" w:sz="6" w:space="0"/>
              <w:bottom w:val="single" w:color="auto" w:sz="6" w:space="0"/>
              <w:right w:val="single" w:color="auto" w:sz="6" w:space="0"/>
            </w:tcBorders>
            <w:noWrap w:val="0"/>
            <w:vAlign w:val="center"/>
          </w:tcPr>
          <w:p w14:paraId="415F2B2F">
            <w:pPr>
              <w:widowControl/>
              <w:jc w:val="center"/>
              <w:rPr>
                <w:rFonts w:ascii="宋体" w:hAnsi="宋体"/>
                <w:bCs/>
                <w:sz w:val="20"/>
                <w:szCs w:val="20"/>
              </w:rPr>
            </w:pPr>
            <w:r>
              <w:rPr>
                <w:rFonts w:ascii="宋体" w:hAnsi="宋体"/>
                <w:bCs/>
                <w:sz w:val="20"/>
                <w:szCs w:val="20"/>
                <w:lang w:bidi="ar"/>
              </w:rPr>
              <w:t>10</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3CC19AD">
            <w:pPr>
              <w:widowControl/>
              <w:jc w:val="center"/>
              <w:rPr>
                <w:rFonts w:ascii="宋体" w:hAnsi="宋体"/>
                <w:bCs/>
                <w:sz w:val="20"/>
                <w:szCs w:val="20"/>
              </w:rPr>
            </w:pPr>
            <w:r>
              <w:rPr>
                <w:rFonts w:ascii="宋体" w:hAnsi="宋体"/>
                <w:bCs/>
                <w:sz w:val="20"/>
                <w:szCs w:val="20"/>
                <w:lang w:bidi="ar"/>
              </w:rPr>
              <w:t>8</w:t>
            </w:r>
          </w:p>
        </w:tc>
        <w:tc>
          <w:tcPr>
            <w:tcW w:w="895" w:type="dxa"/>
            <w:tcBorders>
              <w:top w:val="single" w:color="auto" w:sz="6" w:space="0"/>
              <w:left w:val="single" w:color="auto" w:sz="6" w:space="0"/>
              <w:bottom w:val="single" w:color="auto" w:sz="6" w:space="0"/>
              <w:right w:val="single" w:color="auto" w:sz="6" w:space="0"/>
            </w:tcBorders>
            <w:noWrap w:val="0"/>
            <w:vAlign w:val="center"/>
          </w:tcPr>
          <w:p w14:paraId="768BA817">
            <w:pPr>
              <w:widowControl/>
              <w:jc w:val="center"/>
              <w:rPr>
                <w:rFonts w:ascii="宋体" w:hAnsi="宋体"/>
                <w:bCs/>
                <w:sz w:val="20"/>
                <w:szCs w:val="20"/>
              </w:rPr>
            </w:pPr>
            <w:r>
              <w:rPr>
                <w:rFonts w:ascii="宋体" w:hAnsi="宋体"/>
                <w:bCs/>
                <w:sz w:val="20"/>
                <w:szCs w:val="20"/>
                <w:lang w:bidi="ar"/>
              </w:rPr>
              <w:t>8</w:t>
            </w:r>
          </w:p>
        </w:tc>
        <w:tc>
          <w:tcPr>
            <w:tcW w:w="961" w:type="dxa"/>
            <w:tcBorders>
              <w:top w:val="single" w:color="auto" w:sz="6" w:space="0"/>
              <w:left w:val="single" w:color="auto" w:sz="6" w:space="0"/>
              <w:bottom w:val="single" w:color="auto" w:sz="6" w:space="0"/>
              <w:right w:val="single" w:color="auto" w:sz="6" w:space="0"/>
            </w:tcBorders>
            <w:noWrap w:val="0"/>
            <w:vAlign w:val="center"/>
          </w:tcPr>
          <w:p w14:paraId="60F70329">
            <w:pPr>
              <w:widowControl/>
              <w:jc w:val="center"/>
              <w:rPr>
                <w:rFonts w:ascii="宋体" w:hAnsi="宋体"/>
                <w:bCs/>
                <w:sz w:val="20"/>
                <w:szCs w:val="20"/>
              </w:rPr>
            </w:pPr>
            <w:r>
              <w:rPr>
                <w:rFonts w:ascii="宋体" w:hAnsi="宋体"/>
                <w:bCs/>
                <w:sz w:val="20"/>
                <w:szCs w:val="20"/>
                <w:lang w:bidi="ar"/>
              </w:rPr>
              <w:t>6</w:t>
            </w:r>
          </w:p>
        </w:tc>
        <w:tc>
          <w:tcPr>
            <w:tcW w:w="1085" w:type="dxa"/>
            <w:tcBorders>
              <w:top w:val="single" w:color="auto" w:sz="6" w:space="0"/>
              <w:left w:val="single" w:color="auto" w:sz="6" w:space="0"/>
              <w:bottom w:val="single" w:color="auto" w:sz="6" w:space="0"/>
              <w:right w:val="single" w:color="auto" w:sz="12" w:space="0"/>
            </w:tcBorders>
            <w:noWrap w:val="0"/>
            <w:vAlign w:val="center"/>
          </w:tcPr>
          <w:p w14:paraId="08927576">
            <w:pPr>
              <w:widowControl/>
              <w:jc w:val="center"/>
              <w:rPr>
                <w:rFonts w:ascii="宋体" w:hAnsi="宋体"/>
                <w:bCs/>
                <w:sz w:val="20"/>
                <w:szCs w:val="20"/>
              </w:rPr>
            </w:pPr>
            <w:r>
              <w:rPr>
                <w:rFonts w:ascii="宋体" w:hAnsi="宋体"/>
                <w:bCs/>
                <w:sz w:val="20"/>
                <w:szCs w:val="20"/>
                <w:lang w:bidi="ar"/>
              </w:rPr>
              <w:t>6</w:t>
            </w:r>
          </w:p>
        </w:tc>
      </w:tr>
      <w:tr w14:paraId="42D13B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14:paraId="3D6B913C">
            <w:pPr>
              <w:widowControl/>
              <w:jc w:val="center"/>
              <w:rPr>
                <w:rFonts w:ascii="宋体" w:hAnsi="宋体"/>
                <w:bCs/>
                <w:sz w:val="20"/>
                <w:szCs w:val="20"/>
              </w:rPr>
            </w:pPr>
            <w:r>
              <w:rPr>
                <w:rFonts w:ascii="宋体" w:hAnsi="宋体"/>
                <w:bCs/>
                <w:sz w:val="20"/>
                <w:szCs w:val="20"/>
                <w:lang w:bidi="ar"/>
              </w:rPr>
              <w:t>架空通信线和通信发射塔</w:t>
            </w:r>
          </w:p>
        </w:tc>
        <w:tc>
          <w:tcPr>
            <w:tcW w:w="1091" w:type="dxa"/>
            <w:tcBorders>
              <w:top w:val="single" w:color="auto" w:sz="6" w:space="0"/>
              <w:left w:val="single" w:color="auto" w:sz="6" w:space="0"/>
              <w:bottom w:val="single" w:color="auto" w:sz="6" w:space="0"/>
              <w:right w:val="single" w:color="auto" w:sz="6" w:space="0"/>
            </w:tcBorders>
            <w:noWrap w:val="0"/>
            <w:vAlign w:val="center"/>
          </w:tcPr>
          <w:p w14:paraId="7307CDC9">
            <w:pPr>
              <w:widowControl/>
              <w:jc w:val="center"/>
              <w:rPr>
                <w:rFonts w:ascii="宋体" w:hAnsi="宋体"/>
                <w:bCs/>
                <w:sz w:val="20"/>
                <w:szCs w:val="20"/>
              </w:rPr>
            </w:pPr>
            <w:r>
              <w:rPr>
                <w:rFonts w:ascii="宋体" w:hAnsi="宋体"/>
                <w:bCs/>
                <w:sz w:val="20"/>
                <w:szCs w:val="20"/>
                <w:lang w:bidi="ar"/>
              </w:rPr>
              <w:t>1倍杆(塔)高</w:t>
            </w:r>
          </w:p>
        </w:tc>
        <w:tc>
          <w:tcPr>
            <w:tcW w:w="1795" w:type="dxa"/>
            <w:gridSpan w:val="2"/>
            <w:tcBorders>
              <w:top w:val="single" w:color="auto" w:sz="6" w:space="0"/>
              <w:left w:val="single" w:color="auto" w:sz="6" w:space="0"/>
              <w:bottom w:val="single" w:color="auto" w:sz="6" w:space="0"/>
              <w:right w:val="single" w:color="auto" w:sz="6" w:space="0"/>
            </w:tcBorders>
            <w:noWrap w:val="0"/>
            <w:vAlign w:val="center"/>
          </w:tcPr>
          <w:p w14:paraId="1F2B7BC7">
            <w:pPr>
              <w:widowControl/>
              <w:jc w:val="center"/>
              <w:rPr>
                <w:rFonts w:ascii="宋体" w:hAnsi="宋体"/>
                <w:bCs/>
                <w:sz w:val="20"/>
                <w:szCs w:val="20"/>
              </w:rPr>
            </w:pPr>
            <w:r>
              <w:rPr>
                <w:rFonts w:ascii="宋体" w:hAnsi="宋体"/>
                <w:bCs/>
                <w:sz w:val="20"/>
                <w:szCs w:val="20"/>
                <w:lang w:bidi="ar"/>
              </w:rPr>
              <w:t>0.75倍杆(塔)高</w:t>
            </w:r>
          </w:p>
        </w:tc>
        <w:tc>
          <w:tcPr>
            <w:tcW w:w="2046" w:type="dxa"/>
            <w:gridSpan w:val="2"/>
            <w:tcBorders>
              <w:top w:val="single" w:color="auto" w:sz="6" w:space="0"/>
              <w:left w:val="single" w:color="auto" w:sz="6" w:space="0"/>
              <w:bottom w:val="single" w:color="auto" w:sz="6" w:space="0"/>
              <w:right w:val="single" w:color="auto" w:sz="12" w:space="0"/>
            </w:tcBorders>
            <w:noWrap w:val="0"/>
            <w:vAlign w:val="center"/>
          </w:tcPr>
          <w:p w14:paraId="0AE77EF0">
            <w:pPr>
              <w:widowControl/>
              <w:jc w:val="center"/>
              <w:rPr>
                <w:rFonts w:ascii="宋体" w:hAnsi="宋体"/>
                <w:bCs/>
                <w:sz w:val="20"/>
                <w:szCs w:val="20"/>
              </w:rPr>
            </w:pPr>
            <w:r>
              <w:rPr>
                <w:rFonts w:ascii="宋体" w:hAnsi="宋体"/>
                <w:bCs/>
                <w:sz w:val="20"/>
                <w:szCs w:val="20"/>
                <w:lang w:bidi="ar"/>
              </w:rPr>
              <w:t>0.75倍杆(塔)高</w:t>
            </w:r>
          </w:p>
        </w:tc>
      </w:tr>
      <w:tr w14:paraId="0FFF22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3" w:type="dxa"/>
            <w:gridSpan w:val="2"/>
            <w:vMerge w:val="restart"/>
            <w:tcBorders>
              <w:top w:val="single" w:color="auto" w:sz="6" w:space="0"/>
              <w:left w:val="single" w:color="auto" w:sz="12" w:space="0"/>
              <w:bottom w:val="single" w:color="auto" w:sz="12" w:space="0"/>
              <w:right w:val="single" w:color="auto" w:sz="6" w:space="0"/>
            </w:tcBorders>
            <w:noWrap w:val="0"/>
            <w:vAlign w:val="center"/>
          </w:tcPr>
          <w:p w14:paraId="50D4C2EC">
            <w:pPr>
              <w:widowControl/>
              <w:jc w:val="center"/>
              <w:rPr>
                <w:rFonts w:ascii="宋体" w:hAnsi="宋体"/>
                <w:bCs/>
                <w:sz w:val="20"/>
                <w:szCs w:val="20"/>
              </w:rPr>
            </w:pPr>
            <w:r>
              <w:rPr>
                <w:rFonts w:ascii="宋体" w:hAnsi="宋体"/>
                <w:bCs/>
                <w:sz w:val="20"/>
                <w:szCs w:val="20"/>
                <w:lang w:bidi="ar"/>
              </w:rPr>
              <w:t>架空电力线</w:t>
            </w:r>
          </w:p>
        </w:tc>
        <w:tc>
          <w:tcPr>
            <w:tcW w:w="2475" w:type="dxa"/>
            <w:gridSpan w:val="2"/>
            <w:tcBorders>
              <w:top w:val="single" w:color="auto" w:sz="6" w:space="0"/>
              <w:left w:val="single" w:color="auto" w:sz="6" w:space="0"/>
              <w:bottom w:val="single" w:color="auto" w:sz="6" w:space="0"/>
              <w:right w:val="single" w:color="auto" w:sz="6" w:space="0"/>
            </w:tcBorders>
            <w:noWrap w:val="0"/>
            <w:vAlign w:val="center"/>
          </w:tcPr>
          <w:p w14:paraId="7E8B2C2A">
            <w:pPr>
              <w:widowControl/>
              <w:jc w:val="center"/>
              <w:rPr>
                <w:rFonts w:ascii="宋体" w:hAnsi="宋体"/>
                <w:bCs/>
                <w:sz w:val="20"/>
                <w:szCs w:val="20"/>
              </w:rPr>
            </w:pPr>
            <w:r>
              <w:rPr>
                <w:rFonts w:ascii="宋体" w:hAnsi="宋体"/>
                <w:bCs/>
                <w:sz w:val="20"/>
                <w:szCs w:val="20"/>
                <w:lang w:bidi="ar"/>
              </w:rPr>
              <w:t>无绝缘层</w:t>
            </w:r>
          </w:p>
        </w:tc>
        <w:tc>
          <w:tcPr>
            <w:tcW w:w="1091" w:type="dxa"/>
            <w:vMerge w:val="restart"/>
            <w:tcBorders>
              <w:top w:val="single" w:color="auto" w:sz="6" w:space="0"/>
              <w:left w:val="single" w:color="auto" w:sz="6" w:space="0"/>
              <w:bottom w:val="single" w:color="auto" w:sz="12" w:space="0"/>
              <w:right w:val="single" w:color="auto" w:sz="6" w:space="0"/>
            </w:tcBorders>
            <w:noWrap w:val="0"/>
            <w:vAlign w:val="center"/>
          </w:tcPr>
          <w:p w14:paraId="51D146F6">
            <w:pPr>
              <w:widowControl/>
              <w:jc w:val="center"/>
              <w:rPr>
                <w:rFonts w:ascii="宋体" w:hAnsi="宋体"/>
                <w:bCs/>
                <w:sz w:val="20"/>
                <w:szCs w:val="20"/>
              </w:rPr>
            </w:pPr>
            <w:r>
              <w:rPr>
                <w:rFonts w:ascii="宋体" w:hAnsi="宋体"/>
                <w:bCs/>
                <w:sz w:val="20"/>
                <w:szCs w:val="20"/>
                <w:lang w:bidi="ar"/>
              </w:rPr>
              <w:t>1.5倍</w:t>
            </w:r>
          </w:p>
          <w:p w14:paraId="6AF12566">
            <w:pPr>
              <w:widowControl/>
              <w:jc w:val="center"/>
              <w:rPr>
                <w:rFonts w:ascii="宋体" w:hAnsi="宋体"/>
                <w:bCs/>
                <w:sz w:val="20"/>
                <w:szCs w:val="20"/>
              </w:rPr>
            </w:pPr>
            <w:r>
              <w:rPr>
                <w:rFonts w:ascii="宋体" w:hAnsi="宋体"/>
                <w:bCs/>
                <w:sz w:val="20"/>
                <w:szCs w:val="20"/>
                <w:lang w:bidi="ar"/>
              </w:rPr>
              <w:t>杆(塔)高</w:t>
            </w:r>
          </w:p>
        </w:tc>
        <w:tc>
          <w:tcPr>
            <w:tcW w:w="1795" w:type="dxa"/>
            <w:gridSpan w:val="2"/>
            <w:tcBorders>
              <w:top w:val="single" w:color="auto" w:sz="6" w:space="0"/>
              <w:left w:val="single" w:color="auto" w:sz="6" w:space="0"/>
              <w:bottom w:val="single" w:color="auto" w:sz="6" w:space="0"/>
              <w:right w:val="single" w:color="auto" w:sz="6" w:space="0"/>
            </w:tcBorders>
            <w:noWrap w:val="0"/>
            <w:vAlign w:val="center"/>
          </w:tcPr>
          <w:p w14:paraId="0B518B60">
            <w:pPr>
              <w:widowControl/>
              <w:jc w:val="center"/>
              <w:rPr>
                <w:rFonts w:ascii="宋体" w:hAnsi="宋体"/>
                <w:bCs/>
                <w:sz w:val="20"/>
                <w:szCs w:val="20"/>
              </w:rPr>
            </w:pPr>
            <w:r>
              <w:rPr>
                <w:rFonts w:ascii="宋体" w:hAnsi="宋体"/>
                <w:bCs/>
                <w:sz w:val="20"/>
                <w:szCs w:val="20"/>
                <w:lang w:bidi="ar"/>
              </w:rPr>
              <w:t>1.5傍杆(塔)高</w:t>
            </w:r>
          </w:p>
        </w:tc>
        <w:tc>
          <w:tcPr>
            <w:tcW w:w="2046" w:type="dxa"/>
            <w:gridSpan w:val="2"/>
            <w:tcBorders>
              <w:top w:val="single" w:color="auto" w:sz="6" w:space="0"/>
              <w:left w:val="single" w:color="auto" w:sz="6" w:space="0"/>
              <w:bottom w:val="single" w:color="auto" w:sz="6" w:space="0"/>
              <w:right w:val="single" w:color="auto" w:sz="12" w:space="0"/>
            </w:tcBorders>
            <w:noWrap w:val="0"/>
            <w:vAlign w:val="center"/>
          </w:tcPr>
          <w:p w14:paraId="4A01E999">
            <w:pPr>
              <w:widowControl/>
              <w:jc w:val="center"/>
              <w:rPr>
                <w:rFonts w:ascii="宋体" w:hAnsi="宋体"/>
                <w:bCs/>
                <w:sz w:val="20"/>
                <w:szCs w:val="20"/>
              </w:rPr>
            </w:pPr>
            <w:r>
              <w:rPr>
                <w:rFonts w:ascii="宋体" w:hAnsi="宋体"/>
                <w:bCs/>
                <w:sz w:val="20"/>
                <w:szCs w:val="20"/>
                <w:lang w:bidi="ar"/>
              </w:rPr>
              <w:t>1倍杆(塔)高</w:t>
            </w:r>
          </w:p>
        </w:tc>
      </w:tr>
      <w:tr w14:paraId="1579E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3" w:type="dxa"/>
            <w:gridSpan w:val="2"/>
            <w:vMerge w:val="continue"/>
            <w:tcBorders>
              <w:top w:val="single" w:color="auto" w:sz="6" w:space="0"/>
              <w:left w:val="single" w:color="auto" w:sz="12" w:space="0"/>
              <w:bottom w:val="single" w:color="auto" w:sz="12" w:space="0"/>
              <w:right w:val="single" w:color="auto" w:sz="6" w:space="0"/>
            </w:tcBorders>
            <w:noWrap w:val="0"/>
            <w:vAlign w:val="center"/>
          </w:tcPr>
          <w:p w14:paraId="36E01324">
            <w:pPr>
              <w:jc w:val="center"/>
              <w:rPr>
                <w:rFonts w:ascii="宋体" w:hAnsi="宋体"/>
                <w:sz w:val="20"/>
                <w:szCs w:val="20"/>
              </w:rPr>
            </w:pPr>
          </w:p>
        </w:tc>
        <w:tc>
          <w:tcPr>
            <w:tcW w:w="2475" w:type="dxa"/>
            <w:gridSpan w:val="2"/>
            <w:tcBorders>
              <w:top w:val="single" w:color="auto" w:sz="6" w:space="0"/>
              <w:left w:val="single" w:color="auto" w:sz="6" w:space="0"/>
              <w:bottom w:val="single" w:color="auto" w:sz="12" w:space="0"/>
              <w:right w:val="single" w:color="auto" w:sz="6" w:space="0"/>
            </w:tcBorders>
            <w:noWrap w:val="0"/>
            <w:vAlign w:val="center"/>
          </w:tcPr>
          <w:p w14:paraId="55A1B793">
            <w:pPr>
              <w:widowControl/>
              <w:jc w:val="center"/>
              <w:rPr>
                <w:rFonts w:ascii="宋体" w:hAnsi="宋体"/>
                <w:bCs/>
                <w:sz w:val="20"/>
                <w:szCs w:val="20"/>
              </w:rPr>
            </w:pPr>
            <w:r>
              <w:rPr>
                <w:rFonts w:ascii="宋体" w:hAnsi="宋体"/>
                <w:bCs/>
                <w:sz w:val="20"/>
                <w:szCs w:val="20"/>
                <w:lang w:bidi="ar"/>
              </w:rPr>
              <w:t>有绝缘层</w:t>
            </w:r>
          </w:p>
        </w:tc>
        <w:tc>
          <w:tcPr>
            <w:tcW w:w="1091" w:type="dxa"/>
            <w:vMerge w:val="continue"/>
            <w:tcBorders>
              <w:top w:val="single" w:color="auto" w:sz="6" w:space="0"/>
              <w:left w:val="single" w:color="auto" w:sz="6" w:space="0"/>
              <w:bottom w:val="single" w:color="auto" w:sz="12" w:space="0"/>
              <w:right w:val="single" w:color="auto" w:sz="6" w:space="0"/>
            </w:tcBorders>
            <w:noWrap w:val="0"/>
            <w:vAlign w:val="center"/>
          </w:tcPr>
          <w:p w14:paraId="420DADDD">
            <w:pPr>
              <w:jc w:val="center"/>
              <w:rPr>
                <w:rFonts w:ascii="宋体" w:hAnsi="宋体"/>
                <w:sz w:val="20"/>
                <w:szCs w:val="20"/>
              </w:rPr>
            </w:pPr>
          </w:p>
        </w:tc>
        <w:tc>
          <w:tcPr>
            <w:tcW w:w="1795" w:type="dxa"/>
            <w:gridSpan w:val="2"/>
            <w:tcBorders>
              <w:top w:val="single" w:color="auto" w:sz="6" w:space="0"/>
              <w:left w:val="single" w:color="auto" w:sz="6" w:space="0"/>
              <w:bottom w:val="single" w:color="auto" w:sz="12" w:space="0"/>
              <w:right w:val="single" w:color="auto" w:sz="6" w:space="0"/>
            </w:tcBorders>
            <w:noWrap w:val="0"/>
            <w:vAlign w:val="center"/>
          </w:tcPr>
          <w:p w14:paraId="0A0533FF">
            <w:pPr>
              <w:widowControl/>
              <w:jc w:val="center"/>
              <w:rPr>
                <w:rFonts w:ascii="宋体" w:hAnsi="宋体"/>
                <w:bCs/>
                <w:sz w:val="20"/>
                <w:szCs w:val="20"/>
              </w:rPr>
            </w:pPr>
            <w:r>
              <w:rPr>
                <w:rFonts w:ascii="宋体" w:hAnsi="宋体"/>
                <w:bCs/>
                <w:sz w:val="20"/>
                <w:szCs w:val="20"/>
                <w:lang w:bidi="ar"/>
              </w:rPr>
              <w:t>1倍杆(塔)高</w:t>
            </w:r>
          </w:p>
        </w:tc>
        <w:tc>
          <w:tcPr>
            <w:tcW w:w="2046" w:type="dxa"/>
            <w:gridSpan w:val="2"/>
            <w:tcBorders>
              <w:top w:val="single" w:color="auto" w:sz="6" w:space="0"/>
              <w:left w:val="single" w:color="auto" w:sz="6" w:space="0"/>
              <w:bottom w:val="single" w:color="auto" w:sz="12" w:space="0"/>
              <w:right w:val="single" w:color="auto" w:sz="12" w:space="0"/>
            </w:tcBorders>
            <w:noWrap w:val="0"/>
            <w:vAlign w:val="center"/>
          </w:tcPr>
          <w:p w14:paraId="253939AF">
            <w:pPr>
              <w:widowControl/>
              <w:jc w:val="center"/>
              <w:rPr>
                <w:rFonts w:ascii="宋体" w:hAnsi="宋体"/>
                <w:bCs/>
                <w:sz w:val="20"/>
                <w:szCs w:val="20"/>
              </w:rPr>
            </w:pPr>
            <w:r>
              <w:rPr>
                <w:rFonts w:ascii="宋体" w:hAnsi="宋体"/>
                <w:bCs/>
                <w:sz w:val="20"/>
                <w:szCs w:val="20"/>
                <w:lang w:bidi="ar"/>
              </w:rPr>
              <w:t>0.75倍杆(塔)高</w:t>
            </w:r>
          </w:p>
        </w:tc>
      </w:tr>
    </w:tbl>
    <w:p w14:paraId="5DBB6A82">
      <w:pPr>
        <w:snapToGrid w:val="0"/>
        <w:spacing w:before="120" w:beforeLines="50" w:line="310" w:lineRule="exact"/>
        <w:ind w:left="972" w:leftChars="200" w:hanging="552" w:hangingChars="275"/>
        <w:rPr>
          <w:rFonts w:ascii="宋体" w:hAnsi="宋体"/>
          <w:bCs/>
          <w:sz w:val="20"/>
          <w:szCs w:val="20"/>
          <w:lang w:bidi="ar"/>
        </w:rPr>
      </w:pPr>
      <w:r>
        <w:rPr>
          <w:rFonts w:ascii="宋体" w:hAnsi="宋体"/>
          <w:b/>
          <w:bCs/>
          <w:sz w:val="20"/>
          <w:szCs w:val="20"/>
          <w:lang w:bidi="ar"/>
        </w:rPr>
        <w:t>注：</w:t>
      </w:r>
      <w:r>
        <w:rPr>
          <w:rFonts w:ascii="宋体" w:hAnsi="宋体"/>
          <w:bCs/>
          <w:sz w:val="20"/>
          <w:szCs w:val="20"/>
          <w:lang w:bidi="ar"/>
        </w:rPr>
        <w:t>1.室外变、配电站指电力系统电压为35 kV～500kV，且每台变压器容量在10MV•A以上的室外变、配电站，以及工业企业的变压器总油量大于5t的室外降压变电站。其他规格的室外变、配电站或变压器按丙类物品生产厂房确定。</w:t>
      </w:r>
    </w:p>
    <w:p w14:paraId="5FF8901E">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2.表中道路系指机动车道路。油罐、加油机和油罐通气管管口与郊区公路的安全间距按城市道路确定，高速公路、一级和二级公路按城市快速路、主干路确定；三级和四级公路按城市次干路、支路确定。</w:t>
      </w:r>
    </w:p>
    <w:p w14:paraId="203E3F9E">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3.埋地液化天然气储罐、地下液化天然气储罐和半地下液化天然气储罐与站外建(构)筑物的距离，分别不应低于本表地上液化天然气储罐安全间距的50%、70%和80%，但最小不应小于6m。</w:t>
      </w:r>
    </w:p>
    <w:p w14:paraId="1FFFBD1E">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4.一、二级耐火等级民用建筑物面向加气站一侧的墙为无门窗洞口实体墙时，站内液化天然气设备与该民用建筑物的距离，不应低于本表规定的安全间距的70%。</w:t>
      </w:r>
    </w:p>
    <w:p w14:paraId="394E7450">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5.液化天然气储罐、放散管管口、加气机、液化天然气卸车点与站外建筑面积不超过200m</w:t>
      </w:r>
      <w:r>
        <w:rPr>
          <w:rFonts w:ascii="宋体" w:hAnsi="宋体"/>
          <w:bCs/>
          <w:sz w:val="20"/>
          <w:szCs w:val="20"/>
          <w:vertAlign w:val="superscript"/>
          <w:lang w:bidi="ar"/>
        </w:rPr>
        <w:t>2</w:t>
      </w:r>
      <w:r>
        <w:rPr>
          <w:rFonts w:ascii="宋体" w:hAnsi="宋体"/>
          <w:bCs/>
          <w:sz w:val="20"/>
          <w:szCs w:val="20"/>
          <w:lang w:bidi="ar"/>
        </w:rPr>
        <w:t>的独立民用建筑物的距离，不应低于本表的三类保护物的安全间距的80%。</w:t>
      </w:r>
    </w:p>
    <w:p w14:paraId="6AAB5FF3">
      <w:pPr>
        <w:snapToGrid w:val="0"/>
        <w:spacing w:line="310" w:lineRule="exact"/>
        <w:rPr>
          <w:rFonts w:eastAsia="黑体"/>
          <w:sz w:val="28"/>
          <w:szCs w:val="28"/>
          <w:lang w:bidi="ar"/>
        </w:rPr>
      </w:pPr>
      <w:r>
        <w:rPr>
          <w:rFonts w:ascii="宋体" w:hAnsi="宋体"/>
          <w:bCs/>
          <w:sz w:val="20"/>
          <w:szCs w:val="20"/>
          <w:lang w:bidi="ar"/>
        </w:rPr>
        <w:br w:type="page"/>
      </w:r>
      <w:r>
        <w:rPr>
          <w:rFonts w:eastAsia="黑体"/>
          <w:sz w:val="28"/>
          <w:szCs w:val="28"/>
          <w:lang w:bidi="ar"/>
        </w:rPr>
        <w:t>附表8—9</w:t>
      </w:r>
    </w:p>
    <w:p w14:paraId="4B49E1D7">
      <w:pPr>
        <w:autoSpaceDE w:val="0"/>
        <w:autoSpaceDN w:val="0"/>
        <w:adjustRightInd w:val="0"/>
        <w:jc w:val="center"/>
        <w:rPr>
          <w:rFonts w:eastAsia="黑体"/>
          <w:sz w:val="28"/>
          <w:szCs w:val="28"/>
          <w:lang w:bidi="ar"/>
        </w:rPr>
      </w:pPr>
    </w:p>
    <w:p w14:paraId="5B5C55EC">
      <w:pPr>
        <w:autoSpaceDE w:val="0"/>
        <w:autoSpaceDN w:val="0"/>
        <w:adjustRightInd w:val="0"/>
        <w:jc w:val="center"/>
        <w:rPr>
          <w:rFonts w:eastAsia="黑体"/>
          <w:sz w:val="28"/>
          <w:szCs w:val="28"/>
          <w:lang w:bidi="ar"/>
        </w:rPr>
      </w:pPr>
      <w:r>
        <w:rPr>
          <w:rFonts w:eastAsia="黑体"/>
          <w:sz w:val="28"/>
          <w:szCs w:val="28"/>
          <w:lang w:bidi="ar"/>
        </w:rPr>
        <w:t>生活垃圾转运站设置标准</w:t>
      </w:r>
    </w:p>
    <w:p w14:paraId="4F0A73C6">
      <w:pPr>
        <w:widowControl/>
        <w:spacing w:line="280" w:lineRule="exact"/>
        <w:ind w:firstLine="181"/>
        <w:jc w:val="center"/>
        <w:rPr>
          <w:rFonts w:eastAsia="黑体"/>
          <w:szCs w:val="20"/>
        </w:rPr>
      </w:pP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36"/>
        <w:gridCol w:w="2936"/>
        <w:gridCol w:w="2937"/>
      </w:tblGrid>
      <w:tr w14:paraId="51E2E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 w:hRule="atLeast"/>
          <w:jc w:val="center"/>
        </w:trPr>
        <w:tc>
          <w:tcPr>
            <w:tcW w:w="2936" w:type="dxa"/>
            <w:tcBorders>
              <w:top w:val="single" w:color="auto" w:sz="12" w:space="0"/>
              <w:left w:val="single" w:color="auto" w:sz="12" w:space="0"/>
              <w:bottom w:val="single" w:color="auto" w:sz="6" w:space="0"/>
              <w:right w:val="single" w:color="auto" w:sz="6" w:space="0"/>
            </w:tcBorders>
            <w:noWrap w:val="0"/>
            <w:vAlign w:val="center"/>
          </w:tcPr>
          <w:p w14:paraId="0DC5E5A8">
            <w:pPr>
              <w:widowControl/>
              <w:jc w:val="center"/>
              <w:rPr>
                <w:rFonts w:eastAsia="黑体"/>
                <w:bCs/>
              </w:rPr>
            </w:pPr>
            <w:r>
              <w:rPr>
                <w:rFonts w:eastAsia="黑体"/>
                <w:bCs/>
                <w:lang w:bidi="ar"/>
              </w:rPr>
              <w:t>转运量（t/d）</w:t>
            </w:r>
          </w:p>
        </w:tc>
        <w:tc>
          <w:tcPr>
            <w:tcW w:w="2936" w:type="dxa"/>
            <w:tcBorders>
              <w:top w:val="single" w:color="auto" w:sz="12" w:space="0"/>
              <w:left w:val="single" w:color="auto" w:sz="6" w:space="0"/>
              <w:bottom w:val="single" w:color="auto" w:sz="6" w:space="0"/>
              <w:right w:val="single" w:color="auto" w:sz="6" w:space="0"/>
            </w:tcBorders>
            <w:noWrap w:val="0"/>
            <w:vAlign w:val="center"/>
          </w:tcPr>
          <w:p w14:paraId="4866E195">
            <w:pPr>
              <w:widowControl/>
              <w:jc w:val="center"/>
              <w:rPr>
                <w:rFonts w:eastAsia="黑体"/>
                <w:bCs/>
              </w:rPr>
            </w:pPr>
            <w:r>
              <w:rPr>
                <w:rFonts w:eastAsia="黑体"/>
                <w:bCs/>
                <w:lang w:bidi="ar"/>
              </w:rPr>
              <w:t>与相邻建筑间距（m）</w:t>
            </w:r>
          </w:p>
        </w:tc>
        <w:tc>
          <w:tcPr>
            <w:tcW w:w="2937" w:type="dxa"/>
            <w:tcBorders>
              <w:top w:val="single" w:color="auto" w:sz="12" w:space="0"/>
              <w:left w:val="single" w:color="auto" w:sz="6" w:space="0"/>
              <w:bottom w:val="single" w:color="auto" w:sz="6" w:space="0"/>
              <w:right w:val="single" w:color="auto" w:sz="12" w:space="0"/>
            </w:tcBorders>
            <w:noWrap w:val="0"/>
            <w:vAlign w:val="center"/>
          </w:tcPr>
          <w:p w14:paraId="38657D18">
            <w:pPr>
              <w:widowControl/>
              <w:jc w:val="center"/>
              <w:rPr>
                <w:rFonts w:eastAsia="黑体"/>
                <w:bCs/>
              </w:rPr>
            </w:pPr>
            <w:r>
              <w:rPr>
                <w:rFonts w:eastAsia="黑体"/>
                <w:bCs/>
                <w:lang w:bidi="ar"/>
              </w:rPr>
              <w:t>绿化隔离带宽度（m）</w:t>
            </w:r>
          </w:p>
        </w:tc>
      </w:tr>
      <w:tr w14:paraId="03E449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936" w:type="dxa"/>
            <w:tcBorders>
              <w:top w:val="single" w:color="auto" w:sz="6" w:space="0"/>
              <w:left w:val="single" w:color="auto" w:sz="12" w:space="0"/>
              <w:bottom w:val="single" w:color="auto" w:sz="6" w:space="0"/>
              <w:right w:val="single" w:color="auto" w:sz="6" w:space="0"/>
            </w:tcBorders>
            <w:noWrap w:val="0"/>
            <w:vAlign w:val="center"/>
          </w:tcPr>
          <w:p w14:paraId="35F00844">
            <w:pPr>
              <w:widowControl/>
              <w:jc w:val="center"/>
              <w:rPr>
                <w:rFonts w:ascii="宋体" w:hAnsi="宋体"/>
                <w:bCs/>
              </w:rPr>
            </w:pPr>
            <w:r>
              <w:rPr>
                <w:rFonts w:ascii="宋体" w:hAnsi="宋体"/>
                <w:bCs/>
                <w:lang w:bidi="ar"/>
              </w:rPr>
              <w:t>1000≤ t ＜3000</w:t>
            </w:r>
          </w:p>
        </w:tc>
        <w:tc>
          <w:tcPr>
            <w:tcW w:w="2936" w:type="dxa"/>
            <w:tcBorders>
              <w:top w:val="single" w:color="auto" w:sz="6" w:space="0"/>
              <w:left w:val="single" w:color="auto" w:sz="6" w:space="0"/>
              <w:bottom w:val="single" w:color="auto" w:sz="6" w:space="0"/>
              <w:right w:val="single" w:color="auto" w:sz="6" w:space="0"/>
            </w:tcBorders>
            <w:noWrap w:val="0"/>
            <w:vAlign w:val="center"/>
          </w:tcPr>
          <w:p w14:paraId="0B23A361">
            <w:pPr>
              <w:widowControl/>
              <w:jc w:val="center"/>
              <w:rPr>
                <w:rFonts w:ascii="宋体" w:hAnsi="宋体"/>
                <w:bCs/>
              </w:rPr>
            </w:pPr>
            <w:r>
              <w:rPr>
                <w:rFonts w:ascii="宋体" w:hAnsi="宋体"/>
                <w:bCs/>
                <w:lang w:bidi="ar"/>
              </w:rPr>
              <w:t>≥50</w:t>
            </w:r>
          </w:p>
        </w:tc>
        <w:tc>
          <w:tcPr>
            <w:tcW w:w="2937" w:type="dxa"/>
            <w:tcBorders>
              <w:top w:val="single" w:color="auto" w:sz="6" w:space="0"/>
              <w:left w:val="single" w:color="auto" w:sz="6" w:space="0"/>
              <w:bottom w:val="single" w:color="auto" w:sz="6" w:space="0"/>
              <w:right w:val="single" w:color="auto" w:sz="12" w:space="0"/>
            </w:tcBorders>
            <w:noWrap w:val="0"/>
            <w:vAlign w:val="center"/>
          </w:tcPr>
          <w:p w14:paraId="6D4291BC">
            <w:pPr>
              <w:widowControl/>
              <w:jc w:val="center"/>
              <w:rPr>
                <w:rFonts w:ascii="宋体" w:hAnsi="宋体"/>
                <w:bCs/>
              </w:rPr>
            </w:pPr>
            <w:r>
              <w:rPr>
                <w:rFonts w:ascii="宋体" w:hAnsi="宋体"/>
                <w:bCs/>
                <w:lang w:bidi="ar"/>
              </w:rPr>
              <w:t>≥20</w:t>
            </w:r>
          </w:p>
        </w:tc>
      </w:tr>
      <w:tr w14:paraId="35AADF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 w:hRule="atLeast"/>
          <w:jc w:val="center"/>
        </w:trPr>
        <w:tc>
          <w:tcPr>
            <w:tcW w:w="2936" w:type="dxa"/>
            <w:tcBorders>
              <w:top w:val="single" w:color="auto" w:sz="6" w:space="0"/>
              <w:left w:val="single" w:color="auto" w:sz="12" w:space="0"/>
              <w:bottom w:val="single" w:color="auto" w:sz="6" w:space="0"/>
              <w:right w:val="single" w:color="auto" w:sz="6" w:space="0"/>
            </w:tcBorders>
            <w:noWrap w:val="0"/>
            <w:vAlign w:val="center"/>
          </w:tcPr>
          <w:p w14:paraId="3FBE7614">
            <w:pPr>
              <w:widowControl/>
              <w:jc w:val="center"/>
              <w:rPr>
                <w:rFonts w:ascii="宋体" w:hAnsi="宋体"/>
                <w:bCs/>
              </w:rPr>
            </w:pPr>
            <w:r>
              <w:rPr>
                <w:rFonts w:ascii="宋体" w:hAnsi="宋体"/>
                <w:bCs/>
                <w:lang w:bidi="ar"/>
              </w:rPr>
              <w:t>450≤ t ＜1000</w:t>
            </w:r>
          </w:p>
        </w:tc>
        <w:tc>
          <w:tcPr>
            <w:tcW w:w="2936" w:type="dxa"/>
            <w:tcBorders>
              <w:top w:val="single" w:color="auto" w:sz="6" w:space="0"/>
              <w:left w:val="single" w:color="auto" w:sz="6" w:space="0"/>
              <w:bottom w:val="single" w:color="auto" w:sz="6" w:space="0"/>
              <w:right w:val="single" w:color="auto" w:sz="6" w:space="0"/>
            </w:tcBorders>
            <w:noWrap w:val="0"/>
            <w:vAlign w:val="center"/>
          </w:tcPr>
          <w:p w14:paraId="6F2ABF06">
            <w:pPr>
              <w:widowControl/>
              <w:jc w:val="center"/>
              <w:rPr>
                <w:rFonts w:ascii="宋体" w:hAnsi="宋体"/>
                <w:bCs/>
              </w:rPr>
            </w:pPr>
            <w:r>
              <w:rPr>
                <w:rFonts w:ascii="宋体" w:hAnsi="宋体"/>
                <w:bCs/>
                <w:lang w:bidi="ar"/>
              </w:rPr>
              <w:t>≥30</w:t>
            </w:r>
          </w:p>
        </w:tc>
        <w:tc>
          <w:tcPr>
            <w:tcW w:w="2937" w:type="dxa"/>
            <w:tcBorders>
              <w:top w:val="single" w:color="auto" w:sz="6" w:space="0"/>
              <w:left w:val="single" w:color="auto" w:sz="6" w:space="0"/>
              <w:bottom w:val="single" w:color="auto" w:sz="6" w:space="0"/>
              <w:right w:val="single" w:color="auto" w:sz="12" w:space="0"/>
            </w:tcBorders>
            <w:noWrap w:val="0"/>
            <w:vAlign w:val="center"/>
          </w:tcPr>
          <w:p w14:paraId="4C5DE2C2">
            <w:pPr>
              <w:widowControl/>
              <w:jc w:val="center"/>
              <w:rPr>
                <w:rFonts w:ascii="宋体" w:hAnsi="宋体"/>
                <w:bCs/>
              </w:rPr>
            </w:pPr>
            <w:r>
              <w:rPr>
                <w:rFonts w:ascii="宋体" w:hAnsi="宋体"/>
                <w:bCs/>
                <w:lang w:bidi="ar"/>
              </w:rPr>
              <w:t>≥15</w:t>
            </w:r>
          </w:p>
        </w:tc>
      </w:tr>
      <w:tr w14:paraId="4DC37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 w:hRule="atLeast"/>
          <w:jc w:val="center"/>
        </w:trPr>
        <w:tc>
          <w:tcPr>
            <w:tcW w:w="2936" w:type="dxa"/>
            <w:tcBorders>
              <w:top w:val="single" w:color="auto" w:sz="6" w:space="0"/>
              <w:left w:val="single" w:color="auto" w:sz="12" w:space="0"/>
              <w:bottom w:val="single" w:color="auto" w:sz="6" w:space="0"/>
              <w:right w:val="single" w:color="auto" w:sz="6" w:space="0"/>
            </w:tcBorders>
            <w:noWrap w:val="0"/>
            <w:vAlign w:val="center"/>
          </w:tcPr>
          <w:p w14:paraId="4411AD8C">
            <w:pPr>
              <w:widowControl/>
              <w:jc w:val="center"/>
              <w:rPr>
                <w:rFonts w:ascii="宋体" w:hAnsi="宋体"/>
                <w:bCs/>
              </w:rPr>
            </w:pPr>
            <w:r>
              <w:rPr>
                <w:rFonts w:ascii="宋体" w:hAnsi="宋体"/>
                <w:bCs/>
                <w:lang w:bidi="ar"/>
              </w:rPr>
              <w:t>150≤ t ＜450</w:t>
            </w:r>
          </w:p>
        </w:tc>
        <w:tc>
          <w:tcPr>
            <w:tcW w:w="2936" w:type="dxa"/>
            <w:tcBorders>
              <w:top w:val="single" w:color="auto" w:sz="6" w:space="0"/>
              <w:left w:val="single" w:color="auto" w:sz="6" w:space="0"/>
              <w:bottom w:val="single" w:color="auto" w:sz="6" w:space="0"/>
              <w:right w:val="single" w:color="auto" w:sz="6" w:space="0"/>
            </w:tcBorders>
            <w:noWrap w:val="0"/>
            <w:vAlign w:val="center"/>
          </w:tcPr>
          <w:p w14:paraId="0FD55759">
            <w:pPr>
              <w:widowControl/>
              <w:jc w:val="center"/>
              <w:rPr>
                <w:rFonts w:ascii="宋体" w:hAnsi="宋体"/>
                <w:bCs/>
              </w:rPr>
            </w:pPr>
            <w:r>
              <w:rPr>
                <w:rFonts w:ascii="宋体" w:hAnsi="宋体"/>
                <w:bCs/>
                <w:lang w:bidi="ar"/>
              </w:rPr>
              <w:t>≥15</w:t>
            </w:r>
          </w:p>
        </w:tc>
        <w:tc>
          <w:tcPr>
            <w:tcW w:w="2937" w:type="dxa"/>
            <w:tcBorders>
              <w:top w:val="single" w:color="auto" w:sz="6" w:space="0"/>
              <w:left w:val="single" w:color="auto" w:sz="6" w:space="0"/>
              <w:bottom w:val="single" w:color="auto" w:sz="6" w:space="0"/>
              <w:right w:val="single" w:color="auto" w:sz="12" w:space="0"/>
            </w:tcBorders>
            <w:noWrap w:val="0"/>
            <w:vAlign w:val="center"/>
          </w:tcPr>
          <w:p w14:paraId="0965E732">
            <w:pPr>
              <w:widowControl/>
              <w:jc w:val="center"/>
              <w:rPr>
                <w:rFonts w:ascii="宋体" w:hAnsi="宋体"/>
                <w:bCs/>
              </w:rPr>
            </w:pPr>
            <w:r>
              <w:rPr>
                <w:rFonts w:ascii="宋体" w:hAnsi="宋体"/>
                <w:bCs/>
                <w:lang w:bidi="ar"/>
              </w:rPr>
              <w:t>≥8</w:t>
            </w:r>
          </w:p>
        </w:tc>
      </w:tr>
      <w:tr w14:paraId="4196C3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936" w:type="dxa"/>
            <w:tcBorders>
              <w:top w:val="single" w:color="auto" w:sz="6" w:space="0"/>
              <w:left w:val="single" w:color="auto" w:sz="12" w:space="0"/>
              <w:bottom w:val="single" w:color="auto" w:sz="6" w:space="0"/>
              <w:right w:val="single" w:color="auto" w:sz="6" w:space="0"/>
            </w:tcBorders>
            <w:noWrap w:val="0"/>
            <w:vAlign w:val="center"/>
          </w:tcPr>
          <w:p w14:paraId="784F3830">
            <w:pPr>
              <w:widowControl/>
              <w:jc w:val="center"/>
              <w:rPr>
                <w:rFonts w:ascii="宋体" w:hAnsi="宋体"/>
                <w:bCs/>
              </w:rPr>
            </w:pPr>
            <w:r>
              <w:rPr>
                <w:rFonts w:ascii="宋体" w:hAnsi="宋体"/>
                <w:bCs/>
                <w:lang w:bidi="ar"/>
              </w:rPr>
              <w:t>50≤t＜150</w:t>
            </w:r>
          </w:p>
        </w:tc>
        <w:tc>
          <w:tcPr>
            <w:tcW w:w="2936" w:type="dxa"/>
            <w:tcBorders>
              <w:top w:val="single" w:color="auto" w:sz="6" w:space="0"/>
              <w:left w:val="single" w:color="auto" w:sz="6" w:space="0"/>
              <w:bottom w:val="single" w:color="auto" w:sz="6" w:space="0"/>
              <w:right w:val="single" w:color="auto" w:sz="6" w:space="0"/>
            </w:tcBorders>
            <w:noWrap w:val="0"/>
            <w:vAlign w:val="center"/>
          </w:tcPr>
          <w:p w14:paraId="358A13A5">
            <w:pPr>
              <w:widowControl/>
              <w:jc w:val="center"/>
              <w:rPr>
                <w:rFonts w:ascii="宋体" w:hAnsi="宋体"/>
                <w:bCs/>
              </w:rPr>
            </w:pPr>
            <w:r>
              <w:rPr>
                <w:rFonts w:ascii="宋体" w:hAnsi="宋体"/>
                <w:bCs/>
                <w:lang w:bidi="ar"/>
              </w:rPr>
              <w:t>≥10</w:t>
            </w:r>
          </w:p>
        </w:tc>
        <w:tc>
          <w:tcPr>
            <w:tcW w:w="2937" w:type="dxa"/>
            <w:tcBorders>
              <w:top w:val="single" w:color="auto" w:sz="6" w:space="0"/>
              <w:left w:val="single" w:color="auto" w:sz="6" w:space="0"/>
              <w:bottom w:val="single" w:color="auto" w:sz="6" w:space="0"/>
              <w:right w:val="single" w:color="auto" w:sz="12" w:space="0"/>
            </w:tcBorders>
            <w:noWrap w:val="0"/>
            <w:vAlign w:val="center"/>
          </w:tcPr>
          <w:p w14:paraId="0BFC49DE">
            <w:pPr>
              <w:widowControl/>
              <w:jc w:val="center"/>
              <w:rPr>
                <w:rFonts w:ascii="宋体" w:hAnsi="宋体"/>
                <w:bCs/>
              </w:rPr>
            </w:pPr>
            <w:r>
              <w:rPr>
                <w:rFonts w:ascii="宋体" w:hAnsi="宋体"/>
                <w:bCs/>
                <w:lang w:bidi="ar"/>
              </w:rPr>
              <w:t>≥5</w:t>
            </w:r>
          </w:p>
        </w:tc>
      </w:tr>
      <w:tr w14:paraId="7383E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 w:hRule="atLeast"/>
          <w:jc w:val="center"/>
        </w:trPr>
        <w:tc>
          <w:tcPr>
            <w:tcW w:w="2936" w:type="dxa"/>
            <w:tcBorders>
              <w:top w:val="single" w:color="auto" w:sz="6" w:space="0"/>
              <w:left w:val="single" w:color="auto" w:sz="12" w:space="0"/>
              <w:bottom w:val="single" w:color="auto" w:sz="12" w:space="0"/>
              <w:right w:val="single" w:color="auto" w:sz="6" w:space="0"/>
            </w:tcBorders>
            <w:noWrap w:val="0"/>
            <w:vAlign w:val="center"/>
          </w:tcPr>
          <w:p w14:paraId="43A2CA29">
            <w:pPr>
              <w:widowControl/>
              <w:jc w:val="center"/>
              <w:rPr>
                <w:rFonts w:ascii="宋体" w:hAnsi="宋体"/>
                <w:bCs/>
              </w:rPr>
            </w:pPr>
            <w:r>
              <w:rPr>
                <w:rFonts w:ascii="宋体" w:hAnsi="宋体"/>
                <w:bCs/>
                <w:lang w:bidi="ar"/>
              </w:rPr>
              <w:t>＜50</w:t>
            </w:r>
          </w:p>
        </w:tc>
        <w:tc>
          <w:tcPr>
            <w:tcW w:w="2936" w:type="dxa"/>
            <w:tcBorders>
              <w:top w:val="single" w:color="auto" w:sz="6" w:space="0"/>
              <w:left w:val="single" w:color="auto" w:sz="6" w:space="0"/>
              <w:bottom w:val="single" w:color="auto" w:sz="12" w:space="0"/>
              <w:right w:val="single" w:color="auto" w:sz="6" w:space="0"/>
            </w:tcBorders>
            <w:noWrap w:val="0"/>
            <w:vAlign w:val="center"/>
          </w:tcPr>
          <w:p w14:paraId="7164063B">
            <w:pPr>
              <w:widowControl/>
              <w:jc w:val="center"/>
              <w:rPr>
                <w:rFonts w:ascii="宋体" w:hAnsi="宋体"/>
                <w:bCs/>
              </w:rPr>
            </w:pPr>
            <w:r>
              <w:rPr>
                <w:rFonts w:ascii="宋体" w:hAnsi="宋体"/>
                <w:bCs/>
                <w:lang w:bidi="ar"/>
              </w:rPr>
              <w:t>≥8</w:t>
            </w:r>
          </w:p>
        </w:tc>
        <w:tc>
          <w:tcPr>
            <w:tcW w:w="2937" w:type="dxa"/>
            <w:tcBorders>
              <w:top w:val="single" w:color="auto" w:sz="6" w:space="0"/>
              <w:left w:val="single" w:color="auto" w:sz="6" w:space="0"/>
              <w:bottom w:val="single" w:color="auto" w:sz="12" w:space="0"/>
              <w:right w:val="single" w:color="auto" w:sz="12" w:space="0"/>
            </w:tcBorders>
            <w:noWrap w:val="0"/>
            <w:vAlign w:val="center"/>
          </w:tcPr>
          <w:p w14:paraId="04E2E798">
            <w:pPr>
              <w:widowControl/>
              <w:jc w:val="center"/>
              <w:rPr>
                <w:rFonts w:ascii="宋体" w:hAnsi="宋体"/>
                <w:bCs/>
              </w:rPr>
            </w:pPr>
            <w:r>
              <w:rPr>
                <w:rFonts w:ascii="宋体" w:hAnsi="宋体"/>
                <w:bCs/>
                <w:lang w:bidi="ar"/>
              </w:rPr>
              <w:t>≥3</w:t>
            </w:r>
          </w:p>
        </w:tc>
      </w:tr>
    </w:tbl>
    <w:p w14:paraId="332E65CE">
      <w:pPr>
        <w:widowControl/>
        <w:spacing w:line="220" w:lineRule="exact"/>
        <w:ind w:firstLine="1369" w:firstLineChars="428"/>
        <w:jc w:val="left"/>
        <w:rPr>
          <w:rFonts w:eastAsia="仿宋"/>
          <w:bCs/>
          <w:sz w:val="32"/>
        </w:rPr>
      </w:pPr>
    </w:p>
    <w:p w14:paraId="3F802B88">
      <w:pPr>
        <w:spacing w:line="600" w:lineRule="exact"/>
        <w:ind w:firstLine="640" w:firstLineChars="200"/>
        <w:rPr>
          <w:rFonts w:hint="eastAsia" w:ascii="仿宋_GB2312" w:eastAsia="仿宋_GB2312"/>
          <w:sz w:val="32"/>
          <w:szCs w:val="32"/>
        </w:rPr>
      </w:pPr>
    </w:p>
    <w:p w14:paraId="774F58BF">
      <w:pPr>
        <w:spacing w:line="600" w:lineRule="exact"/>
        <w:ind w:firstLine="640" w:firstLineChars="200"/>
        <w:rPr>
          <w:rFonts w:hint="eastAsia" w:ascii="仿宋_GB2312" w:eastAsia="仿宋_GB2312"/>
          <w:sz w:val="32"/>
          <w:szCs w:val="32"/>
        </w:rPr>
      </w:pPr>
    </w:p>
    <w:p w14:paraId="7D50C34B">
      <w:pPr>
        <w:overflowPunct w:val="0"/>
        <w:spacing w:line="590" w:lineRule="exact"/>
        <w:ind w:left="210" w:leftChars="100" w:right="210" w:rightChars="100"/>
        <w:textAlignment w:val="baseline"/>
        <w:rPr>
          <w:rFonts w:hint="eastAsia" w:ascii="黑体" w:eastAsia="黑体"/>
          <w:sz w:val="32"/>
          <w:szCs w:val="32"/>
        </w:rPr>
      </w:pPr>
    </w:p>
    <w:p w14:paraId="602CA68F"/>
    <w:sectPr>
      <w:footerReference r:id="rId7" w:type="default"/>
      <w:footerReference r:id="rId8" w:type="even"/>
      <w:pgSz w:w="11915" w:h="16840"/>
      <w:pgMar w:top="2098" w:right="1531" w:bottom="1758" w:left="1531" w:header="851" w:footer="1361"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4A382">
    <w:pPr>
      <w:ind w:right="360" w:firstLine="48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63E68">
    <w:pPr>
      <w:pStyle w:val="5"/>
      <w:framePr w:wrap="around" w:vAnchor="text" w:hAnchor="margin" w:xAlign="outside" w:y="1"/>
      <w:rPr>
        <w:rStyle w:val="9"/>
      </w:rPr>
    </w:pPr>
    <w:r>
      <w:fldChar w:fldCharType="begin"/>
    </w:r>
    <w:r>
      <w:rPr>
        <w:rStyle w:val="9"/>
      </w:rPr>
      <w:instrText xml:space="preserve">PAGE  </w:instrText>
    </w:r>
    <w:r>
      <w:fldChar w:fldCharType="end"/>
    </w:r>
  </w:p>
  <w:p w14:paraId="21D96679">
    <w:pPr>
      <w:pStyle w:val="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9BB00">
    <w:pPr>
      <w:pStyle w:val="5"/>
      <w:framePr w:wrap="around" w:vAnchor="text" w:hAnchor="margin" w:xAlign="right" w:y="1"/>
      <w:rPr>
        <w:rStyle w:val="9"/>
      </w:rPr>
    </w:pPr>
    <w:r>
      <w:fldChar w:fldCharType="begin"/>
    </w:r>
    <w:r>
      <w:rPr>
        <w:rStyle w:val="9"/>
      </w:rPr>
      <w:instrText xml:space="preserve">PAGE  </w:instrText>
    </w:r>
    <w:r>
      <w:fldChar w:fldCharType="separate"/>
    </w:r>
    <w:r>
      <w:rPr>
        <w:rStyle w:val="9"/>
      </w:rPr>
      <w:t>1</w:t>
    </w:r>
    <w:r>
      <w:fldChar w:fldCharType="end"/>
    </w:r>
  </w:p>
  <w:p w14:paraId="69A10139">
    <w:pPr>
      <w:ind w:right="360"/>
      <w:jc w:val="center"/>
      <w:rPr>
        <w:rFonts w:hint="eastAsia"/>
      </w:rPr>
    </w:pPr>
    <w:r>
      <w:rPr>
        <w:rStyle w:val="9"/>
        <w:rFonts w:hint="eastAsia" w:ascii="Calibri" w:hAnsi="Calibri"/>
        <w:kern w:val="0"/>
        <w:sz w:val="18"/>
        <w:szCs w:val="18"/>
      </w:rPr>
      <w:t xml:space="preserve"> </w:t>
    </w:r>
    <w:r>
      <w:rPr>
        <w:rStyle w:val="9"/>
      </w:rPr>
      <w:t xml:space="preserve"> </w:t>
    </w:r>
    <w:r>
      <w:rPr>
        <w:rStyle w:val="9"/>
        <w:rFonts w:hint="eastAsia"/>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748E9">
    <w:pPr>
      <w:pStyle w:val="5"/>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9E03B">
    <w:pPr>
      <w:pStyle w:val="5"/>
      <w:framePr w:wrap="around" w:vAnchor="text" w:hAnchor="margin" w:xAlign="outside" w:y="1"/>
      <w:rPr>
        <w:rStyle w:val="9"/>
      </w:rPr>
    </w:pPr>
    <w:r>
      <w:fldChar w:fldCharType="begin"/>
    </w:r>
    <w:r>
      <w:rPr>
        <w:rStyle w:val="9"/>
      </w:rPr>
      <w:instrText xml:space="preserve">PAGE  </w:instrText>
    </w:r>
    <w:r>
      <w:fldChar w:fldCharType="end"/>
    </w:r>
  </w:p>
  <w:p w14:paraId="05B8B5A8">
    <w:pPr>
      <w:pStyle w:val="5"/>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42C45">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AC5E2A"/>
    <w:rsid w:val="008B75B9"/>
    <w:rsid w:val="02A94FC0"/>
    <w:rsid w:val="04ED49CE"/>
    <w:rsid w:val="09502DB7"/>
    <w:rsid w:val="0A3F5C20"/>
    <w:rsid w:val="13D23A09"/>
    <w:rsid w:val="15F87F68"/>
    <w:rsid w:val="2D292EC0"/>
    <w:rsid w:val="32A5035E"/>
    <w:rsid w:val="3327290C"/>
    <w:rsid w:val="396B5920"/>
    <w:rsid w:val="3B940ED4"/>
    <w:rsid w:val="3BE53F93"/>
    <w:rsid w:val="3E9F498F"/>
    <w:rsid w:val="453C6DBD"/>
    <w:rsid w:val="46C24891"/>
    <w:rsid w:val="4EAC5E2A"/>
    <w:rsid w:val="54E05F7D"/>
    <w:rsid w:val="646B3A72"/>
    <w:rsid w:val="69B35E60"/>
    <w:rsid w:val="6AAE11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customStyle="1" w:styleId="2">
    <w:name w:val="Body Text First Indent 2"/>
    <w:basedOn w:val="3"/>
    <w:qFormat/>
    <w:uiPriority w:val="0"/>
    <w:pPr>
      <w:ind w:firstLine="420" w:firstLineChars="200"/>
    </w:pPr>
  </w:style>
  <w:style w:type="paragraph" w:customStyle="1" w:styleId="3">
    <w:name w:val="Body Text Indent"/>
    <w:basedOn w:val="1"/>
    <w:qFormat/>
    <w:uiPriority w:val="0"/>
    <w:pPr>
      <w:ind w:left="420" w:leftChars="200"/>
    </w:pPr>
    <w:rPr>
      <w:rFonts w:ascii="Times New Roman" w:hAnsi="Times New Roman"/>
    </w:rPr>
  </w:style>
  <w:style w:type="paragraph" w:styleId="4">
    <w:name w:val="Plain Text"/>
    <w:basedOn w:val="1"/>
    <w:qFormat/>
    <w:uiPriority w:val="0"/>
    <w:rPr>
      <w:rFonts w:ascii="宋体" w:hAnsi="Courier New" w:cs="Courier New"/>
      <w:szCs w:val="21"/>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paragraph" w:customStyle="1" w:styleId="10">
    <w:name w:val="无间隔1"/>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16971</Words>
  <Characters>18430</Characters>
  <Lines>0</Lines>
  <Paragraphs>0</Paragraphs>
  <TotalTime>21</TotalTime>
  <ScaleCrop>false</ScaleCrop>
  <LinksUpToDate>false</LinksUpToDate>
  <CharactersWithSpaces>18603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2020-08-21T08:10:00Z</dcterms:created>
  <dc:creator>陈小二</dc:creator>
  <cp:lastModifiedBy>WPS_1625883245</cp:lastModifiedBy>
  <dcterms:modified xsi:type="dcterms:W3CDTF">2025-05-08T07:44:53Z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eyJoZGlkIjoiZGRjZGI2OTVlZDZlODM2M2Y3ZTUyZWM0MDEwYTg3MTIiLCJ1c2VySWQiOiIxMjMxNTE4Nzc5In0=</vt:lpwstr>
  </property>
  <property fmtid="{D5CDD505-2E9C-101B-9397-08002B2CF9AE}" pid="4" name="ICV">
    <vt:lpwstr>515CB286E8E347A198B616AFFF077B02_12</vt:lpwstr>
  </property>
</Properties>
</file>