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8BCA2">
      <w:pPr>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320DFE85">
      <w:pPr>
        <w:spacing w:line="600" w:lineRule="exact"/>
        <w:jc w:val="center"/>
        <w:rPr>
          <w:rFonts w:hint="eastAsia" w:eastAsia="方正小标宋简体"/>
          <w:sz w:val="44"/>
          <w:szCs w:val="44"/>
        </w:rPr>
      </w:pPr>
      <w:r>
        <w:rPr>
          <w:rFonts w:hint="eastAsia" w:eastAsia="方正小标宋简体"/>
          <w:sz w:val="44"/>
          <w:szCs w:val="44"/>
          <w:lang w:eastAsia="zh-CN"/>
        </w:rPr>
        <w:t>梁子湖区</w:t>
      </w:r>
      <w:r>
        <w:rPr>
          <w:rFonts w:hint="eastAsia" w:eastAsia="方正小标宋简体"/>
          <w:sz w:val="44"/>
          <w:szCs w:val="44"/>
        </w:rPr>
        <w:t>行政审批中介服务事项清单（</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4</w:t>
      </w:r>
      <w:r>
        <w:rPr>
          <w:rFonts w:hint="eastAsia" w:eastAsia="方正小标宋简体"/>
          <w:sz w:val="44"/>
          <w:szCs w:val="44"/>
        </w:rPr>
        <w:t>年版）</w:t>
      </w:r>
    </w:p>
    <w:tbl>
      <w:tblPr>
        <w:tblStyle w:val="8"/>
        <w:tblW w:w="16034"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
      <w:tblGrid>
        <w:gridCol w:w="594"/>
        <w:gridCol w:w="1313"/>
        <w:gridCol w:w="1648"/>
        <w:gridCol w:w="6525"/>
        <w:gridCol w:w="1110"/>
        <w:gridCol w:w="1367"/>
        <w:gridCol w:w="1153"/>
        <w:gridCol w:w="1165"/>
        <w:gridCol w:w="1159"/>
      </w:tblGrid>
      <w:tr w14:paraId="4D7C295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397" w:hRule="atLeast"/>
          <w:jc w:val="center"/>
        </w:trPr>
        <w:tc>
          <w:tcPr>
            <w:tcW w:w="594" w:type="dxa"/>
            <w:tcBorders>
              <w:top w:val="single" w:color="000000" w:sz="12" w:space="0"/>
            </w:tcBorders>
            <w:vAlign w:val="center"/>
          </w:tcPr>
          <w:p w14:paraId="05B30FC6">
            <w:pPr>
              <w:keepNext w:val="0"/>
              <w:keepLines w:val="0"/>
              <w:pageBreakBefore w:val="0"/>
              <w:kinsoku/>
              <w:wordWrap/>
              <w:overflowPunct/>
              <w:topLinePunct w:val="0"/>
              <w:autoSpaceDE/>
              <w:autoSpaceDN/>
              <w:bidi w:val="0"/>
              <w:adjustRightInd/>
              <w:snapToGrid/>
              <w:spacing w:line="280" w:lineRule="exact"/>
              <w:ind w:left="0"/>
              <w:jc w:val="center"/>
              <w:rPr>
                <w:rFonts w:hint="eastAsia" w:ascii="黑体" w:hAnsi="黑体" w:eastAsia="黑体" w:cs="黑体"/>
                <w:color w:val="auto"/>
                <w:sz w:val="28"/>
                <w:szCs w:val="28"/>
              </w:rPr>
            </w:pPr>
            <w:r>
              <w:rPr>
                <w:rFonts w:hint="eastAsia" w:ascii="黑体" w:hAnsi="黑体" w:eastAsia="黑体" w:cs="黑体"/>
                <w:color w:val="auto"/>
                <w:sz w:val="28"/>
                <w:szCs w:val="28"/>
              </w:rPr>
              <w:t>序号</w:t>
            </w:r>
          </w:p>
        </w:tc>
        <w:tc>
          <w:tcPr>
            <w:tcW w:w="1313" w:type="dxa"/>
            <w:tcBorders>
              <w:top w:val="single" w:color="000000" w:sz="12" w:space="0"/>
            </w:tcBorders>
            <w:vAlign w:val="center"/>
          </w:tcPr>
          <w:p w14:paraId="187BF7FF">
            <w:pPr>
              <w:keepNext w:val="0"/>
              <w:keepLines w:val="0"/>
              <w:pageBreakBefore w:val="0"/>
              <w:kinsoku/>
              <w:wordWrap/>
              <w:overflowPunct/>
              <w:topLinePunct w:val="0"/>
              <w:autoSpaceDE/>
              <w:autoSpaceDN/>
              <w:bidi w:val="0"/>
              <w:adjustRightInd/>
              <w:snapToGrid/>
              <w:spacing w:line="280" w:lineRule="exact"/>
              <w:ind w:left="0"/>
              <w:jc w:val="center"/>
              <w:rPr>
                <w:rFonts w:hint="eastAsia" w:ascii="黑体" w:hAnsi="黑体" w:eastAsia="黑体" w:cs="黑体"/>
                <w:color w:val="auto"/>
                <w:sz w:val="28"/>
                <w:szCs w:val="28"/>
              </w:rPr>
            </w:pPr>
            <w:r>
              <w:rPr>
                <w:rFonts w:hint="eastAsia" w:ascii="黑体" w:hAnsi="黑体" w:eastAsia="黑体" w:cs="黑体"/>
                <w:color w:val="auto"/>
                <w:sz w:val="28"/>
                <w:szCs w:val="28"/>
              </w:rPr>
              <w:t>中介服务</w:t>
            </w:r>
          </w:p>
          <w:p w14:paraId="4A2FDD93">
            <w:pPr>
              <w:keepNext w:val="0"/>
              <w:keepLines w:val="0"/>
              <w:pageBreakBefore w:val="0"/>
              <w:kinsoku/>
              <w:wordWrap/>
              <w:overflowPunct/>
              <w:topLinePunct w:val="0"/>
              <w:autoSpaceDE/>
              <w:autoSpaceDN/>
              <w:bidi w:val="0"/>
              <w:adjustRightInd/>
              <w:snapToGrid/>
              <w:spacing w:line="280" w:lineRule="exact"/>
              <w:ind w:left="0"/>
              <w:jc w:val="center"/>
              <w:rPr>
                <w:rFonts w:hint="eastAsia" w:ascii="黑体" w:hAnsi="黑体" w:eastAsia="黑体" w:cs="黑体"/>
                <w:color w:val="auto"/>
                <w:sz w:val="28"/>
                <w:szCs w:val="28"/>
              </w:rPr>
            </w:pPr>
            <w:r>
              <w:rPr>
                <w:rFonts w:hint="eastAsia" w:ascii="黑体" w:hAnsi="黑体" w:eastAsia="黑体" w:cs="黑体"/>
                <w:color w:val="auto"/>
                <w:sz w:val="28"/>
                <w:szCs w:val="28"/>
              </w:rPr>
              <w:t>事项名称</w:t>
            </w:r>
          </w:p>
        </w:tc>
        <w:tc>
          <w:tcPr>
            <w:tcW w:w="1648" w:type="dxa"/>
            <w:tcBorders>
              <w:top w:val="single" w:color="000000" w:sz="12" w:space="0"/>
            </w:tcBorders>
            <w:vAlign w:val="center"/>
          </w:tcPr>
          <w:p w14:paraId="08DCDB90">
            <w:pPr>
              <w:keepNext w:val="0"/>
              <w:keepLines w:val="0"/>
              <w:pageBreakBefore w:val="0"/>
              <w:kinsoku/>
              <w:wordWrap/>
              <w:overflowPunct/>
              <w:topLinePunct w:val="0"/>
              <w:autoSpaceDE/>
              <w:autoSpaceDN/>
              <w:bidi w:val="0"/>
              <w:adjustRightInd/>
              <w:snapToGrid/>
              <w:spacing w:line="280" w:lineRule="exact"/>
              <w:ind w:left="0"/>
              <w:jc w:val="center"/>
              <w:rPr>
                <w:rFonts w:hint="eastAsia" w:ascii="黑体" w:hAnsi="黑体" w:eastAsia="黑体" w:cs="黑体"/>
                <w:color w:val="auto"/>
                <w:sz w:val="28"/>
                <w:szCs w:val="28"/>
              </w:rPr>
            </w:pPr>
            <w:r>
              <w:rPr>
                <w:rFonts w:hint="eastAsia" w:ascii="黑体" w:hAnsi="黑体" w:eastAsia="黑体" w:cs="黑体"/>
                <w:color w:val="auto"/>
                <w:sz w:val="28"/>
                <w:szCs w:val="28"/>
              </w:rPr>
              <w:t>涉及的审批</w:t>
            </w:r>
          </w:p>
          <w:p w14:paraId="37435512">
            <w:pPr>
              <w:keepNext w:val="0"/>
              <w:keepLines w:val="0"/>
              <w:pageBreakBefore w:val="0"/>
              <w:kinsoku/>
              <w:wordWrap/>
              <w:overflowPunct/>
              <w:topLinePunct w:val="0"/>
              <w:autoSpaceDE/>
              <w:autoSpaceDN/>
              <w:bidi w:val="0"/>
              <w:adjustRightInd/>
              <w:snapToGrid/>
              <w:spacing w:line="280" w:lineRule="exact"/>
              <w:ind w:left="0"/>
              <w:jc w:val="center"/>
              <w:rPr>
                <w:rFonts w:hint="eastAsia" w:ascii="黑体" w:hAnsi="黑体" w:eastAsia="黑体" w:cs="黑体"/>
                <w:color w:val="auto"/>
                <w:sz w:val="28"/>
                <w:szCs w:val="28"/>
              </w:rPr>
            </w:pPr>
            <w:r>
              <w:rPr>
                <w:rFonts w:hint="eastAsia" w:ascii="黑体" w:hAnsi="黑体" w:eastAsia="黑体" w:cs="黑体"/>
                <w:color w:val="auto"/>
                <w:sz w:val="28"/>
                <w:szCs w:val="28"/>
              </w:rPr>
              <w:t>事项名称</w:t>
            </w:r>
          </w:p>
        </w:tc>
        <w:tc>
          <w:tcPr>
            <w:tcW w:w="6525" w:type="dxa"/>
            <w:tcBorders>
              <w:top w:val="single" w:color="000000" w:sz="12" w:space="0"/>
            </w:tcBorders>
            <w:vAlign w:val="center"/>
          </w:tcPr>
          <w:p w14:paraId="061A3508">
            <w:pPr>
              <w:keepNext w:val="0"/>
              <w:keepLines w:val="0"/>
              <w:pageBreakBefore w:val="0"/>
              <w:kinsoku/>
              <w:wordWrap/>
              <w:overflowPunct/>
              <w:topLinePunct w:val="0"/>
              <w:autoSpaceDE/>
              <w:autoSpaceDN/>
              <w:bidi w:val="0"/>
              <w:adjustRightInd/>
              <w:snapToGrid/>
              <w:spacing w:line="280" w:lineRule="exact"/>
              <w:ind w:left="0"/>
              <w:jc w:val="center"/>
              <w:rPr>
                <w:rFonts w:hint="eastAsia" w:ascii="黑体" w:hAnsi="黑体" w:eastAsia="黑体" w:cs="黑体"/>
                <w:color w:val="auto"/>
                <w:sz w:val="28"/>
                <w:szCs w:val="28"/>
              </w:rPr>
            </w:pPr>
            <w:r>
              <w:rPr>
                <w:rFonts w:hint="eastAsia" w:ascii="黑体" w:hAnsi="黑体" w:eastAsia="黑体" w:cs="黑体"/>
                <w:color w:val="auto"/>
                <w:sz w:val="28"/>
                <w:szCs w:val="28"/>
              </w:rPr>
              <w:t>设置中介服务事项依据</w:t>
            </w:r>
          </w:p>
        </w:tc>
        <w:tc>
          <w:tcPr>
            <w:tcW w:w="1110" w:type="dxa"/>
            <w:tcBorders>
              <w:top w:val="single" w:color="000000" w:sz="12" w:space="0"/>
            </w:tcBorders>
            <w:vAlign w:val="center"/>
          </w:tcPr>
          <w:p w14:paraId="41C48C7E">
            <w:pPr>
              <w:keepNext w:val="0"/>
              <w:keepLines w:val="0"/>
              <w:pageBreakBefore w:val="0"/>
              <w:kinsoku/>
              <w:wordWrap/>
              <w:overflowPunct/>
              <w:topLinePunct w:val="0"/>
              <w:autoSpaceDE/>
              <w:autoSpaceDN/>
              <w:bidi w:val="0"/>
              <w:adjustRightInd/>
              <w:snapToGrid/>
              <w:spacing w:line="280" w:lineRule="exact"/>
              <w:ind w:left="0"/>
              <w:jc w:val="center"/>
              <w:rPr>
                <w:rFonts w:hint="eastAsia" w:ascii="黑体" w:hAnsi="黑体" w:eastAsia="黑体" w:cs="黑体"/>
                <w:color w:val="auto"/>
                <w:sz w:val="28"/>
                <w:szCs w:val="28"/>
              </w:rPr>
            </w:pPr>
            <w:r>
              <w:rPr>
                <w:rFonts w:hint="eastAsia" w:ascii="黑体" w:hAnsi="黑体" w:eastAsia="黑体" w:cs="黑体"/>
                <w:color w:val="auto"/>
                <w:sz w:val="28"/>
                <w:szCs w:val="28"/>
              </w:rPr>
              <w:t>审批</w:t>
            </w:r>
          </w:p>
          <w:p w14:paraId="4D6B25B9">
            <w:pPr>
              <w:keepNext w:val="0"/>
              <w:keepLines w:val="0"/>
              <w:pageBreakBefore w:val="0"/>
              <w:kinsoku/>
              <w:wordWrap/>
              <w:overflowPunct/>
              <w:topLinePunct w:val="0"/>
              <w:autoSpaceDE/>
              <w:autoSpaceDN/>
              <w:bidi w:val="0"/>
              <w:adjustRightInd/>
              <w:snapToGrid/>
              <w:spacing w:line="280" w:lineRule="exact"/>
              <w:ind w:left="0"/>
              <w:jc w:val="center"/>
              <w:rPr>
                <w:rFonts w:hint="eastAsia" w:ascii="黑体" w:hAnsi="黑体" w:eastAsia="黑体" w:cs="黑体"/>
                <w:color w:val="auto"/>
                <w:sz w:val="28"/>
                <w:szCs w:val="28"/>
              </w:rPr>
            </w:pPr>
            <w:r>
              <w:rPr>
                <w:rFonts w:hint="eastAsia" w:ascii="黑体" w:hAnsi="黑体" w:eastAsia="黑体" w:cs="黑体"/>
                <w:color w:val="auto"/>
                <w:sz w:val="28"/>
                <w:szCs w:val="28"/>
              </w:rPr>
              <w:t>单位</w:t>
            </w:r>
          </w:p>
        </w:tc>
        <w:tc>
          <w:tcPr>
            <w:tcW w:w="1367" w:type="dxa"/>
            <w:tcBorders>
              <w:top w:val="single" w:color="000000" w:sz="12" w:space="0"/>
            </w:tcBorders>
            <w:vAlign w:val="center"/>
          </w:tcPr>
          <w:p w14:paraId="60FDD442">
            <w:pPr>
              <w:keepNext w:val="0"/>
              <w:keepLines w:val="0"/>
              <w:pageBreakBefore w:val="0"/>
              <w:kinsoku/>
              <w:wordWrap/>
              <w:overflowPunct/>
              <w:topLinePunct w:val="0"/>
              <w:autoSpaceDE/>
              <w:autoSpaceDN/>
              <w:bidi w:val="0"/>
              <w:adjustRightInd/>
              <w:snapToGrid/>
              <w:spacing w:line="280" w:lineRule="exact"/>
              <w:ind w:left="0"/>
              <w:jc w:val="center"/>
              <w:rPr>
                <w:rFonts w:hint="eastAsia" w:ascii="黑体" w:hAnsi="黑体" w:eastAsia="黑体" w:cs="黑体"/>
                <w:color w:val="auto"/>
                <w:sz w:val="28"/>
                <w:szCs w:val="28"/>
              </w:rPr>
            </w:pPr>
            <w:r>
              <w:rPr>
                <w:rFonts w:hint="eastAsia" w:ascii="黑体" w:hAnsi="黑体" w:eastAsia="黑体" w:cs="黑体"/>
                <w:color w:val="auto"/>
                <w:sz w:val="28"/>
                <w:szCs w:val="28"/>
              </w:rPr>
              <w:t>中介服务</w:t>
            </w:r>
          </w:p>
          <w:p w14:paraId="35860B6A">
            <w:pPr>
              <w:keepNext w:val="0"/>
              <w:keepLines w:val="0"/>
              <w:pageBreakBefore w:val="0"/>
              <w:kinsoku/>
              <w:wordWrap/>
              <w:overflowPunct/>
              <w:topLinePunct w:val="0"/>
              <w:autoSpaceDE/>
              <w:autoSpaceDN/>
              <w:bidi w:val="0"/>
              <w:adjustRightInd/>
              <w:snapToGrid/>
              <w:spacing w:line="280" w:lineRule="exact"/>
              <w:ind w:left="0"/>
              <w:jc w:val="center"/>
              <w:rPr>
                <w:rFonts w:hint="eastAsia" w:ascii="黑体" w:hAnsi="黑体" w:eastAsia="黑体" w:cs="黑体"/>
                <w:color w:val="auto"/>
                <w:sz w:val="28"/>
                <w:szCs w:val="28"/>
              </w:rPr>
            </w:pPr>
            <w:r>
              <w:rPr>
                <w:rFonts w:hint="eastAsia" w:ascii="黑体" w:hAnsi="黑体" w:eastAsia="黑体" w:cs="黑体"/>
                <w:color w:val="auto"/>
                <w:sz w:val="28"/>
                <w:szCs w:val="28"/>
              </w:rPr>
              <w:t>实施机构</w:t>
            </w:r>
          </w:p>
        </w:tc>
        <w:tc>
          <w:tcPr>
            <w:tcW w:w="1153" w:type="dxa"/>
            <w:tcBorders>
              <w:top w:val="single" w:color="000000" w:sz="12" w:space="0"/>
            </w:tcBorders>
            <w:vAlign w:val="center"/>
          </w:tcPr>
          <w:p w14:paraId="7C9A3318">
            <w:pPr>
              <w:keepNext w:val="0"/>
              <w:keepLines w:val="0"/>
              <w:pageBreakBefore w:val="0"/>
              <w:kinsoku/>
              <w:wordWrap/>
              <w:overflowPunct/>
              <w:topLinePunct w:val="0"/>
              <w:autoSpaceDE/>
              <w:autoSpaceDN/>
              <w:bidi w:val="0"/>
              <w:adjustRightInd/>
              <w:snapToGrid/>
              <w:spacing w:line="280" w:lineRule="exact"/>
              <w:ind w:left="0"/>
              <w:jc w:val="center"/>
              <w:rPr>
                <w:rFonts w:hint="eastAsia" w:ascii="黑体" w:hAnsi="黑体" w:eastAsia="黑体" w:cs="黑体"/>
                <w:color w:val="auto"/>
                <w:sz w:val="28"/>
                <w:szCs w:val="28"/>
              </w:rPr>
            </w:pPr>
            <w:r>
              <w:rPr>
                <w:rFonts w:hint="eastAsia" w:ascii="黑体" w:hAnsi="黑体" w:eastAsia="黑体" w:cs="黑体"/>
                <w:color w:val="auto"/>
                <w:sz w:val="28"/>
                <w:szCs w:val="28"/>
              </w:rPr>
              <w:t>办事</w:t>
            </w:r>
          </w:p>
          <w:p w14:paraId="3492DE8E">
            <w:pPr>
              <w:keepNext w:val="0"/>
              <w:keepLines w:val="0"/>
              <w:pageBreakBefore w:val="0"/>
              <w:kinsoku/>
              <w:wordWrap/>
              <w:overflowPunct/>
              <w:topLinePunct w:val="0"/>
              <w:autoSpaceDE/>
              <w:autoSpaceDN/>
              <w:bidi w:val="0"/>
              <w:adjustRightInd/>
              <w:snapToGrid/>
              <w:spacing w:line="280" w:lineRule="exact"/>
              <w:ind w:left="0"/>
              <w:jc w:val="center"/>
              <w:rPr>
                <w:rFonts w:hint="eastAsia" w:ascii="黑体" w:hAnsi="黑体" w:eastAsia="黑体" w:cs="黑体"/>
                <w:color w:val="auto"/>
                <w:sz w:val="28"/>
                <w:szCs w:val="28"/>
              </w:rPr>
            </w:pPr>
            <w:r>
              <w:rPr>
                <w:rFonts w:hint="eastAsia" w:ascii="黑体" w:hAnsi="黑体" w:eastAsia="黑体" w:cs="黑体"/>
                <w:color w:val="auto"/>
                <w:sz w:val="28"/>
                <w:szCs w:val="28"/>
              </w:rPr>
              <w:t>时限</w:t>
            </w:r>
          </w:p>
        </w:tc>
        <w:tc>
          <w:tcPr>
            <w:tcW w:w="1165" w:type="dxa"/>
            <w:tcBorders>
              <w:top w:val="single" w:color="000000" w:sz="12" w:space="0"/>
            </w:tcBorders>
            <w:vAlign w:val="center"/>
          </w:tcPr>
          <w:p w14:paraId="595D4D33">
            <w:pPr>
              <w:keepNext w:val="0"/>
              <w:keepLines w:val="0"/>
              <w:pageBreakBefore w:val="0"/>
              <w:kinsoku/>
              <w:wordWrap/>
              <w:overflowPunct/>
              <w:topLinePunct w:val="0"/>
              <w:autoSpaceDE/>
              <w:autoSpaceDN/>
              <w:bidi w:val="0"/>
              <w:adjustRightInd/>
              <w:snapToGrid/>
              <w:spacing w:line="280" w:lineRule="exact"/>
              <w:ind w:left="0"/>
              <w:jc w:val="center"/>
              <w:rPr>
                <w:rFonts w:hint="eastAsia" w:ascii="黑体" w:hAnsi="黑体" w:eastAsia="黑体" w:cs="黑体"/>
                <w:color w:val="auto"/>
                <w:sz w:val="28"/>
                <w:szCs w:val="28"/>
              </w:rPr>
            </w:pPr>
            <w:r>
              <w:rPr>
                <w:rFonts w:hint="eastAsia" w:ascii="黑体" w:hAnsi="黑体" w:eastAsia="黑体" w:cs="黑体"/>
                <w:color w:val="auto"/>
                <w:sz w:val="28"/>
                <w:szCs w:val="28"/>
              </w:rPr>
              <w:t>收费</w:t>
            </w:r>
          </w:p>
          <w:p w14:paraId="08C526E0">
            <w:pPr>
              <w:keepNext w:val="0"/>
              <w:keepLines w:val="0"/>
              <w:pageBreakBefore w:val="0"/>
              <w:kinsoku/>
              <w:wordWrap/>
              <w:overflowPunct/>
              <w:topLinePunct w:val="0"/>
              <w:autoSpaceDE/>
              <w:autoSpaceDN/>
              <w:bidi w:val="0"/>
              <w:adjustRightInd/>
              <w:snapToGrid/>
              <w:spacing w:line="280" w:lineRule="exact"/>
              <w:ind w:left="0"/>
              <w:jc w:val="center"/>
              <w:rPr>
                <w:rFonts w:hint="eastAsia" w:ascii="黑体" w:hAnsi="黑体" w:eastAsia="黑体" w:cs="黑体"/>
                <w:color w:val="auto"/>
                <w:sz w:val="28"/>
                <w:szCs w:val="28"/>
              </w:rPr>
            </w:pPr>
            <w:r>
              <w:rPr>
                <w:rFonts w:hint="eastAsia" w:ascii="黑体" w:hAnsi="黑体" w:eastAsia="黑体" w:cs="黑体"/>
                <w:color w:val="auto"/>
                <w:sz w:val="28"/>
                <w:szCs w:val="28"/>
              </w:rPr>
              <w:t>标准</w:t>
            </w:r>
          </w:p>
        </w:tc>
        <w:tc>
          <w:tcPr>
            <w:tcW w:w="1159" w:type="dxa"/>
            <w:tcBorders>
              <w:top w:val="single" w:color="000000" w:sz="12" w:space="0"/>
            </w:tcBorders>
            <w:vAlign w:val="center"/>
          </w:tcPr>
          <w:p w14:paraId="1F0D1281">
            <w:pPr>
              <w:keepNext w:val="0"/>
              <w:keepLines w:val="0"/>
              <w:pageBreakBefore w:val="0"/>
              <w:kinsoku/>
              <w:wordWrap/>
              <w:overflowPunct/>
              <w:topLinePunct w:val="0"/>
              <w:autoSpaceDE/>
              <w:autoSpaceDN/>
              <w:bidi w:val="0"/>
              <w:adjustRightInd/>
              <w:snapToGrid/>
              <w:spacing w:line="280" w:lineRule="exact"/>
              <w:ind w:left="0"/>
              <w:jc w:val="center"/>
              <w:rPr>
                <w:rFonts w:hint="eastAsia" w:ascii="黑体" w:hAnsi="黑体" w:eastAsia="黑体" w:cs="黑体"/>
                <w:color w:val="auto"/>
                <w:sz w:val="28"/>
                <w:szCs w:val="28"/>
              </w:rPr>
            </w:pPr>
            <w:r>
              <w:rPr>
                <w:rFonts w:hint="eastAsia" w:ascii="黑体" w:hAnsi="黑体" w:eastAsia="黑体" w:cs="黑体"/>
                <w:color w:val="auto"/>
                <w:sz w:val="28"/>
                <w:szCs w:val="28"/>
              </w:rPr>
              <w:t>备注</w:t>
            </w:r>
          </w:p>
        </w:tc>
      </w:tr>
      <w:tr w14:paraId="6D76F39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454" w:hRule="atLeast"/>
          <w:jc w:val="center"/>
        </w:trPr>
        <w:tc>
          <w:tcPr>
            <w:tcW w:w="16034" w:type="dxa"/>
            <w:gridSpan w:val="9"/>
            <w:tcBorders>
              <w:top w:val="single" w:color="000000" w:sz="12" w:space="0"/>
            </w:tcBorders>
            <w:vAlign w:val="center"/>
          </w:tcPr>
          <w:p w14:paraId="44210CB6">
            <w:pPr>
              <w:keepNext w:val="0"/>
              <w:keepLines w:val="0"/>
              <w:pageBreakBefore w:val="0"/>
              <w:kinsoku/>
              <w:wordWrap/>
              <w:overflowPunct/>
              <w:topLinePunct w:val="0"/>
              <w:autoSpaceDE/>
              <w:autoSpaceDN/>
              <w:bidi w:val="0"/>
              <w:adjustRightInd/>
              <w:snapToGrid/>
              <w:spacing w:line="280" w:lineRule="exact"/>
              <w:ind w:left="0"/>
              <w:jc w:val="center"/>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一、由申请人委托中介机构开展的行政审批中介服务事项（</w:t>
            </w:r>
            <w:r>
              <w:rPr>
                <w:rFonts w:hint="eastAsia" w:ascii="楷体_GB2312" w:hAnsi="楷体_GB2312" w:eastAsia="楷体_GB2312" w:cs="楷体_GB2312"/>
                <w:color w:val="auto"/>
                <w:sz w:val="28"/>
                <w:szCs w:val="28"/>
                <w:lang w:val="en-US" w:eastAsia="zh-CN"/>
              </w:rPr>
              <w:t>43</w:t>
            </w:r>
            <w:r>
              <w:rPr>
                <w:rFonts w:hint="eastAsia" w:ascii="楷体_GB2312" w:hAnsi="楷体_GB2312" w:eastAsia="楷体_GB2312" w:cs="楷体_GB2312"/>
                <w:color w:val="auto"/>
                <w:sz w:val="28"/>
                <w:szCs w:val="28"/>
              </w:rPr>
              <w:t>项）</w:t>
            </w:r>
          </w:p>
        </w:tc>
      </w:tr>
      <w:tr w14:paraId="04BE8B0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3055" w:hRule="atLeast"/>
          <w:jc w:val="center"/>
        </w:trPr>
        <w:tc>
          <w:tcPr>
            <w:tcW w:w="594" w:type="dxa"/>
            <w:vAlign w:val="center"/>
          </w:tcPr>
          <w:p w14:paraId="2423D5CC">
            <w:pPr>
              <w:keepNext w:val="0"/>
              <w:keepLines w:val="0"/>
              <w:pageBreakBefore w:val="0"/>
              <w:numPr>
                <w:ilvl w:val="0"/>
                <w:numId w:val="1"/>
              </w:numPr>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1"/>
                <w:szCs w:val="21"/>
              </w:rPr>
            </w:pPr>
          </w:p>
        </w:tc>
        <w:tc>
          <w:tcPr>
            <w:tcW w:w="1313" w:type="dxa"/>
            <w:vAlign w:val="center"/>
          </w:tcPr>
          <w:p w14:paraId="276B49F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项目建议书、可行性研究报告、初步设计及概算编制</w:t>
            </w:r>
          </w:p>
        </w:tc>
        <w:tc>
          <w:tcPr>
            <w:tcW w:w="1648" w:type="dxa"/>
            <w:vAlign w:val="center"/>
          </w:tcPr>
          <w:p w14:paraId="0002C4F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政府投资项目审批</w:t>
            </w:r>
          </w:p>
        </w:tc>
        <w:tc>
          <w:tcPr>
            <w:tcW w:w="6525" w:type="dxa"/>
            <w:vAlign w:val="center"/>
          </w:tcPr>
          <w:p w14:paraId="7942D75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政府投资条例》（国务院令第712号）第九条：政府采取直接投资方式、资本金注入方式投资的项目（以下统称政府投资项目），项目单位应当编制项目建议书、可行性研究报告、初步设计，按照政府投资管理权限和规定的程序，报投资主管部门或者其他有关部门审批。第十二条：经投资主管部门或者其他有关部门核定的投资概算是控制政府投资项目总投资的依据。</w:t>
            </w:r>
          </w:p>
          <w:p w14:paraId="389E4B6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国务院关于投资体制改革的决定》（国发〔2004〕20号）第三部分第（四）项：对于政府投资项目，采用直接投资和资本金注入方式的，从投资决策角度只审批项目建议书和可行性研究报告，除特殊情况外不再审批开工报告，同时应严格政府投资项目的初步设计、概算审批工作；采用投资补助、转贷和贷款贴息方式的，只审批资金申请报告。</w:t>
            </w:r>
          </w:p>
        </w:tc>
        <w:tc>
          <w:tcPr>
            <w:tcW w:w="1110" w:type="dxa"/>
            <w:vAlign w:val="center"/>
          </w:tcPr>
          <w:p w14:paraId="6A322724">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梁子湖区</w:t>
            </w:r>
          </w:p>
          <w:p w14:paraId="37082F89">
            <w:pPr>
              <w:keepNext w:val="0"/>
              <w:keepLines w:val="0"/>
              <w:pageBreakBefore w:val="0"/>
              <w:kinsoku/>
              <w:wordWrap/>
              <w:overflowPunct/>
              <w:topLinePunct w:val="0"/>
              <w:autoSpaceDE/>
              <w:autoSpaceDN/>
              <w:bidi w:val="0"/>
              <w:adjustRightInd/>
              <w:snapToGrid/>
              <w:spacing w:line="280" w:lineRule="exact"/>
              <w:ind w:left="0" w:leftChars="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发改经信局</w:t>
            </w:r>
          </w:p>
        </w:tc>
        <w:tc>
          <w:tcPr>
            <w:tcW w:w="1367" w:type="dxa"/>
            <w:vAlign w:val="center"/>
          </w:tcPr>
          <w:p w14:paraId="74B1A78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已备案且具有相应能力的机构</w:t>
            </w:r>
          </w:p>
        </w:tc>
        <w:tc>
          <w:tcPr>
            <w:tcW w:w="1153" w:type="dxa"/>
            <w:vAlign w:val="center"/>
          </w:tcPr>
          <w:p w14:paraId="6519D49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Align w:val="center"/>
          </w:tcPr>
          <w:p w14:paraId="610C168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vAlign w:val="center"/>
          </w:tcPr>
          <w:p w14:paraId="658DC24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申请人可按要求自行编制，也可委托有关机构编制。</w:t>
            </w:r>
          </w:p>
        </w:tc>
      </w:tr>
      <w:tr w14:paraId="6767C39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2055" w:hRule="atLeast"/>
          <w:jc w:val="center"/>
        </w:trPr>
        <w:tc>
          <w:tcPr>
            <w:tcW w:w="594" w:type="dxa"/>
            <w:vAlign w:val="center"/>
          </w:tcPr>
          <w:p w14:paraId="04B4ABE0">
            <w:pPr>
              <w:keepNext w:val="0"/>
              <w:keepLines w:val="0"/>
              <w:pageBreakBefore w:val="0"/>
              <w:numPr>
                <w:ilvl w:val="0"/>
                <w:numId w:val="1"/>
              </w:numPr>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1"/>
                <w:szCs w:val="21"/>
              </w:rPr>
            </w:pPr>
          </w:p>
        </w:tc>
        <w:tc>
          <w:tcPr>
            <w:tcW w:w="1313" w:type="dxa"/>
            <w:vAlign w:val="center"/>
          </w:tcPr>
          <w:p w14:paraId="3F37824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固定资产投资项目节能报告编制</w:t>
            </w:r>
          </w:p>
        </w:tc>
        <w:tc>
          <w:tcPr>
            <w:tcW w:w="1648" w:type="dxa"/>
            <w:vAlign w:val="center"/>
          </w:tcPr>
          <w:p w14:paraId="5CC23C1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固定资产投资项目节能审查</w:t>
            </w:r>
          </w:p>
        </w:tc>
        <w:tc>
          <w:tcPr>
            <w:tcW w:w="6525" w:type="dxa"/>
            <w:vAlign w:val="center"/>
          </w:tcPr>
          <w:p w14:paraId="7F16552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《中华人民共和国节约能源法》第十五条：国家实行固定资产投资项目节能评估和审查制度……依法负责项目审批的机关不得批准建设。</w:t>
            </w:r>
          </w:p>
          <w:p w14:paraId="19F8BCA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《固定资产投资项目节能审查办法》（国家发展和改革委员会令2016年第44号）第七条：建设单位应编制固定资产投资项目节能报告。</w:t>
            </w:r>
          </w:p>
          <w:p w14:paraId="5A0E3A5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《湖北省固定资产投资项目节能审查实施办法》(湖北省发展和改革委员会 鄂发改规〔2017〕3号)第六条:建设单位申请节能审查，应编制固定资产投资项目节能报告。</w:t>
            </w:r>
          </w:p>
        </w:tc>
        <w:tc>
          <w:tcPr>
            <w:tcW w:w="1110" w:type="dxa"/>
            <w:vAlign w:val="center"/>
          </w:tcPr>
          <w:p w14:paraId="0663BFDD">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梁子湖区</w:t>
            </w:r>
          </w:p>
          <w:p w14:paraId="02CA212A">
            <w:pPr>
              <w:keepNext w:val="0"/>
              <w:keepLines w:val="0"/>
              <w:pageBreakBefore w:val="0"/>
              <w:kinsoku/>
              <w:wordWrap/>
              <w:overflowPunct/>
              <w:topLinePunct w:val="0"/>
              <w:autoSpaceDE/>
              <w:autoSpaceDN/>
              <w:bidi w:val="0"/>
              <w:adjustRightInd/>
              <w:snapToGrid/>
              <w:spacing w:line="280" w:lineRule="exact"/>
              <w:ind w:left="0" w:leftChars="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发改经信局</w:t>
            </w:r>
          </w:p>
        </w:tc>
        <w:tc>
          <w:tcPr>
            <w:tcW w:w="1367" w:type="dxa"/>
            <w:vAlign w:val="center"/>
          </w:tcPr>
          <w:p w14:paraId="7211320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具备编制节能报告能力的机构</w:t>
            </w:r>
          </w:p>
        </w:tc>
        <w:tc>
          <w:tcPr>
            <w:tcW w:w="1153" w:type="dxa"/>
            <w:vAlign w:val="center"/>
          </w:tcPr>
          <w:p w14:paraId="64AE6FF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Align w:val="center"/>
          </w:tcPr>
          <w:p w14:paraId="0125EEF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vAlign w:val="center"/>
          </w:tcPr>
          <w:p w14:paraId="205BC7B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申请人可按要求自行编制，也可委托有关机构编制。</w:t>
            </w:r>
          </w:p>
        </w:tc>
      </w:tr>
      <w:tr w14:paraId="07BC55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704" w:hRule="atLeast"/>
          <w:jc w:val="center"/>
        </w:trPr>
        <w:tc>
          <w:tcPr>
            <w:tcW w:w="594" w:type="dxa"/>
            <w:vAlign w:val="center"/>
          </w:tcPr>
          <w:p w14:paraId="7F2CDD46">
            <w:pPr>
              <w:keepNext w:val="0"/>
              <w:keepLines w:val="0"/>
              <w:pageBreakBefore w:val="0"/>
              <w:numPr>
                <w:ilvl w:val="0"/>
                <w:numId w:val="1"/>
              </w:numPr>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1"/>
                <w:szCs w:val="21"/>
              </w:rPr>
            </w:pPr>
          </w:p>
        </w:tc>
        <w:tc>
          <w:tcPr>
            <w:tcW w:w="1313" w:type="dxa"/>
            <w:vAlign w:val="center"/>
          </w:tcPr>
          <w:p w14:paraId="25DEC83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财务清算报告编制</w:t>
            </w:r>
          </w:p>
        </w:tc>
        <w:tc>
          <w:tcPr>
            <w:tcW w:w="1648" w:type="dxa"/>
            <w:vAlign w:val="center"/>
          </w:tcPr>
          <w:p w14:paraId="601C8E3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实施中等及中等以下学历教育、学前教育、自学考试助学及其他文化教育的学校设立、变更和终止审批</w:t>
            </w:r>
          </w:p>
        </w:tc>
        <w:tc>
          <w:tcPr>
            <w:tcW w:w="6525" w:type="dxa"/>
            <w:vAlign w:val="center"/>
          </w:tcPr>
          <w:p w14:paraId="2CADED3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中华人民共和国民办教育促进法》第五十三条：民办学校的分立、合并，在进行财务清算后，由学校理事会或者董事会报审批机关批准。五十四条：民办学校举办者的变更，须由举办者提出，在进行财务清算后，经学校理事会或者董事会同意，报审批机关核准。</w:t>
            </w:r>
          </w:p>
        </w:tc>
        <w:tc>
          <w:tcPr>
            <w:tcW w:w="1110" w:type="dxa"/>
            <w:vAlign w:val="center"/>
          </w:tcPr>
          <w:p w14:paraId="0BB8BF60">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梁子湖区</w:t>
            </w:r>
          </w:p>
          <w:p w14:paraId="5DBBC87B">
            <w:pPr>
              <w:keepNext w:val="0"/>
              <w:keepLines w:val="0"/>
              <w:pageBreakBefore w:val="0"/>
              <w:kinsoku/>
              <w:wordWrap/>
              <w:overflowPunct/>
              <w:topLinePunct w:val="0"/>
              <w:autoSpaceDE/>
              <w:autoSpaceDN/>
              <w:bidi w:val="0"/>
              <w:adjustRightInd/>
              <w:snapToGrid/>
              <w:spacing w:line="280" w:lineRule="exact"/>
              <w:ind w:left="0" w:leftChars="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教育局</w:t>
            </w:r>
          </w:p>
        </w:tc>
        <w:tc>
          <w:tcPr>
            <w:tcW w:w="1367" w:type="dxa"/>
            <w:vAlign w:val="center"/>
          </w:tcPr>
          <w:p w14:paraId="20E6F4FB">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会计师</w:t>
            </w:r>
          </w:p>
          <w:p w14:paraId="5839DBF3">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事务所</w:t>
            </w:r>
          </w:p>
        </w:tc>
        <w:tc>
          <w:tcPr>
            <w:tcW w:w="1153" w:type="dxa"/>
            <w:vAlign w:val="center"/>
          </w:tcPr>
          <w:p w14:paraId="3DCA3A4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Align w:val="center"/>
          </w:tcPr>
          <w:p w14:paraId="3F65D2B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b/>
                <w:bCs/>
                <w:color w:val="auto"/>
                <w:sz w:val="21"/>
                <w:szCs w:val="21"/>
              </w:rPr>
            </w:pPr>
            <w:r>
              <w:rPr>
                <w:rFonts w:hint="eastAsia" w:ascii="仿宋_GB2312" w:hAnsi="仿宋_GB2312" w:eastAsia="仿宋_GB2312" w:cs="仿宋_GB2312"/>
                <w:color w:val="auto"/>
                <w:sz w:val="21"/>
                <w:szCs w:val="21"/>
              </w:rPr>
              <w:t>双方协商，合同约定</w:t>
            </w:r>
          </w:p>
        </w:tc>
        <w:tc>
          <w:tcPr>
            <w:tcW w:w="1159" w:type="dxa"/>
            <w:vAlign w:val="center"/>
          </w:tcPr>
          <w:p w14:paraId="7725A1A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p>
        </w:tc>
      </w:tr>
      <w:tr w14:paraId="6FB5485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2190" w:hRule="atLeast"/>
          <w:jc w:val="center"/>
        </w:trPr>
        <w:tc>
          <w:tcPr>
            <w:tcW w:w="594" w:type="dxa"/>
            <w:vAlign w:val="center"/>
          </w:tcPr>
          <w:p w14:paraId="313C8DE0">
            <w:pPr>
              <w:keepNext w:val="0"/>
              <w:keepLines w:val="0"/>
              <w:pageBreakBefore w:val="0"/>
              <w:numPr>
                <w:ilvl w:val="0"/>
                <w:numId w:val="1"/>
              </w:numPr>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Cs w:val="21"/>
              </w:rPr>
            </w:pPr>
          </w:p>
        </w:tc>
        <w:tc>
          <w:tcPr>
            <w:tcW w:w="1313" w:type="dxa"/>
            <w:vAlign w:val="center"/>
          </w:tcPr>
          <w:p w14:paraId="53961A6A">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验资报告</w:t>
            </w:r>
          </w:p>
        </w:tc>
        <w:tc>
          <w:tcPr>
            <w:tcW w:w="1648" w:type="dxa"/>
            <w:vAlign w:val="center"/>
          </w:tcPr>
          <w:p w14:paraId="0644E51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社会组织（社会团体、民办非企业、基金会）成立登记</w:t>
            </w:r>
          </w:p>
        </w:tc>
        <w:tc>
          <w:tcPr>
            <w:tcW w:w="6525" w:type="dxa"/>
            <w:vAlign w:val="center"/>
          </w:tcPr>
          <w:p w14:paraId="476E7AC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《民办非企业单位登记暂行办法》（国务院令第251号）第九条 申请民办非企业单位登记，举办者应当向登记管理机关提交下列文件：（四）验资报告；</w:t>
            </w:r>
          </w:p>
          <w:p w14:paraId="4A74F69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基金会管理条例》（国务院令第400号）第九条：申请设立基金会，申请人应当向登记管理机关提交下列文件：（三）验资证明和住所证明；第三十七条：基金会应当接受税务、会计主管部门依法实施的税务监督和会计监督。基金会在换届和更换法定代表人之前，应当进行财务审计。</w:t>
            </w:r>
          </w:p>
        </w:tc>
        <w:tc>
          <w:tcPr>
            <w:tcW w:w="1110" w:type="dxa"/>
            <w:vAlign w:val="center"/>
          </w:tcPr>
          <w:p w14:paraId="69754FBE">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eastAsia="zh-CN"/>
              </w:rPr>
              <w:t>梁子湖区</w:t>
            </w:r>
          </w:p>
          <w:p w14:paraId="773EA45D">
            <w:pPr>
              <w:keepNext w:val="0"/>
              <w:keepLines w:val="0"/>
              <w:pageBreakBefore w:val="0"/>
              <w:kinsoku/>
              <w:wordWrap/>
              <w:overflowPunct/>
              <w:topLinePunct w:val="0"/>
              <w:autoSpaceDE/>
              <w:autoSpaceDN/>
              <w:bidi w:val="0"/>
              <w:adjustRightInd/>
              <w:snapToGrid/>
              <w:spacing w:line="280" w:lineRule="exact"/>
              <w:ind w:left="0" w:leftChars="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民政局</w:t>
            </w:r>
          </w:p>
        </w:tc>
        <w:tc>
          <w:tcPr>
            <w:tcW w:w="1367" w:type="dxa"/>
            <w:vAlign w:val="center"/>
          </w:tcPr>
          <w:p w14:paraId="6BD0E2E1">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会计师</w:t>
            </w:r>
          </w:p>
          <w:p w14:paraId="29933A6A">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事务所</w:t>
            </w:r>
          </w:p>
        </w:tc>
        <w:tc>
          <w:tcPr>
            <w:tcW w:w="1153" w:type="dxa"/>
            <w:vAlign w:val="center"/>
          </w:tcPr>
          <w:p w14:paraId="445380D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5个工作日</w:t>
            </w:r>
          </w:p>
        </w:tc>
        <w:tc>
          <w:tcPr>
            <w:tcW w:w="1165" w:type="dxa"/>
            <w:vAlign w:val="center"/>
          </w:tcPr>
          <w:p w14:paraId="2B80A93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vAlign w:val="center"/>
          </w:tcPr>
          <w:p w14:paraId="7669E28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4DF419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025" w:hRule="atLeast"/>
          <w:jc w:val="center"/>
        </w:trPr>
        <w:tc>
          <w:tcPr>
            <w:tcW w:w="594" w:type="dxa"/>
            <w:vMerge w:val="restart"/>
            <w:vAlign w:val="center"/>
          </w:tcPr>
          <w:p w14:paraId="3B577A69">
            <w:pPr>
              <w:keepNext w:val="0"/>
              <w:keepLines w:val="0"/>
              <w:pageBreakBefore w:val="0"/>
              <w:numPr>
                <w:ilvl w:val="0"/>
                <w:numId w:val="1"/>
              </w:numPr>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Cs w:val="21"/>
              </w:rPr>
            </w:pPr>
          </w:p>
        </w:tc>
        <w:tc>
          <w:tcPr>
            <w:tcW w:w="1313" w:type="dxa"/>
            <w:vMerge w:val="restart"/>
            <w:vAlign w:val="center"/>
          </w:tcPr>
          <w:p w14:paraId="1C4F1C6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财务审计报告</w:t>
            </w:r>
          </w:p>
        </w:tc>
        <w:tc>
          <w:tcPr>
            <w:tcW w:w="1648" w:type="dxa"/>
            <w:vAlign w:val="center"/>
          </w:tcPr>
          <w:p w14:paraId="707EB02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社会组织(社会团体、民办非企业、基金会）变更登记</w:t>
            </w:r>
          </w:p>
        </w:tc>
        <w:tc>
          <w:tcPr>
            <w:tcW w:w="6525" w:type="dxa"/>
            <w:vAlign w:val="center"/>
          </w:tcPr>
          <w:p w14:paraId="351C6E3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《省民政厅关于印发&lt;湖北省社会团体登记规范指引&gt;的通知》（鄂居政规〔2015〕6号）变更登记规范指引</w:t>
            </w:r>
            <w:r>
              <w:rPr>
                <w:rFonts w:hint="eastAsia" w:ascii="仿宋_GB2312" w:hAnsi="仿宋_GB2312" w:eastAsia="仿宋_GB2312" w:cs="仿宋_GB2312"/>
                <w:color w:val="auto"/>
                <w:szCs w:val="21"/>
                <w:lang w:val="en-US" w:eastAsia="zh-CN"/>
              </w:rPr>
              <w:t xml:space="preserve">  </w:t>
            </w:r>
            <w:r>
              <w:rPr>
                <w:rFonts w:hint="eastAsia" w:ascii="仿宋_GB2312" w:hAnsi="仿宋_GB2312" w:eastAsia="仿宋_GB2312" w:cs="仿宋_GB2312"/>
                <w:color w:val="auto"/>
                <w:szCs w:val="21"/>
              </w:rPr>
              <w:t>三、社会团体变更登记需提交材料4.社会团体变更法定代表人需提交的材料（2）社会审计机构出具的对原法定代表人的离任财务审计报告；</w:t>
            </w:r>
          </w:p>
        </w:tc>
        <w:tc>
          <w:tcPr>
            <w:tcW w:w="1110" w:type="dxa"/>
            <w:vMerge w:val="restart"/>
            <w:vAlign w:val="center"/>
          </w:tcPr>
          <w:p w14:paraId="338378FF">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eastAsia="zh-CN"/>
              </w:rPr>
              <w:t>梁子湖区</w:t>
            </w:r>
          </w:p>
          <w:p w14:paraId="5874A956">
            <w:pPr>
              <w:keepNext w:val="0"/>
              <w:keepLines w:val="0"/>
              <w:pageBreakBefore w:val="0"/>
              <w:kinsoku/>
              <w:wordWrap/>
              <w:overflowPunct/>
              <w:topLinePunct w:val="0"/>
              <w:autoSpaceDE/>
              <w:autoSpaceDN/>
              <w:bidi w:val="0"/>
              <w:adjustRightInd/>
              <w:snapToGrid/>
              <w:spacing w:line="280" w:lineRule="exact"/>
              <w:ind w:left="0" w:leftChars="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民政局</w:t>
            </w:r>
          </w:p>
        </w:tc>
        <w:tc>
          <w:tcPr>
            <w:tcW w:w="1367" w:type="dxa"/>
            <w:vMerge w:val="restart"/>
            <w:vAlign w:val="center"/>
          </w:tcPr>
          <w:p w14:paraId="25405876">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会计师</w:t>
            </w:r>
          </w:p>
          <w:p w14:paraId="2AD6931E">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事务所</w:t>
            </w:r>
          </w:p>
        </w:tc>
        <w:tc>
          <w:tcPr>
            <w:tcW w:w="1153" w:type="dxa"/>
            <w:vMerge w:val="restart"/>
            <w:vAlign w:val="center"/>
          </w:tcPr>
          <w:p w14:paraId="68F7276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Merge w:val="restart"/>
            <w:vAlign w:val="center"/>
          </w:tcPr>
          <w:p w14:paraId="5B5D307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vMerge w:val="restart"/>
            <w:vAlign w:val="center"/>
          </w:tcPr>
          <w:p w14:paraId="759AF30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7729C76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865" w:hRule="atLeast"/>
          <w:jc w:val="center"/>
        </w:trPr>
        <w:tc>
          <w:tcPr>
            <w:tcW w:w="594" w:type="dxa"/>
            <w:vMerge w:val="continue"/>
            <w:vAlign w:val="center"/>
          </w:tcPr>
          <w:p w14:paraId="5530D081">
            <w:pPr>
              <w:keepNext w:val="0"/>
              <w:keepLines w:val="0"/>
              <w:pageBreakBefore w:val="0"/>
              <w:kinsoku/>
              <w:wordWrap/>
              <w:overflowPunct/>
              <w:topLinePunct w:val="0"/>
              <w:autoSpaceDE/>
              <w:autoSpaceDN/>
              <w:bidi w:val="0"/>
              <w:adjustRightInd/>
              <w:snapToGrid/>
              <w:spacing w:line="280" w:lineRule="exact"/>
              <w:ind w:left="0" w:firstLineChars="0"/>
              <w:jc w:val="center"/>
              <w:rPr>
                <w:rFonts w:hint="eastAsia" w:ascii="仿宋_GB2312" w:hAnsi="仿宋_GB2312" w:eastAsia="仿宋_GB2312" w:cs="仿宋_GB2312"/>
                <w:color w:val="auto"/>
                <w:szCs w:val="21"/>
              </w:rPr>
            </w:pPr>
          </w:p>
        </w:tc>
        <w:tc>
          <w:tcPr>
            <w:tcW w:w="1313" w:type="dxa"/>
            <w:vMerge w:val="continue"/>
            <w:vAlign w:val="center"/>
          </w:tcPr>
          <w:p w14:paraId="19B5091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648" w:type="dxa"/>
            <w:vAlign w:val="center"/>
          </w:tcPr>
          <w:p w14:paraId="6975DF2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社会组织（社会团体、民办非企业、基金会）注销登记</w:t>
            </w:r>
          </w:p>
        </w:tc>
        <w:tc>
          <w:tcPr>
            <w:tcW w:w="6525" w:type="dxa"/>
            <w:vAlign w:val="center"/>
          </w:tcPr>
          <w:p w14:paraId="5C08411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《省民政厅关于印发&lt;湖北省社会团体登记规范指引&gt;的通知》（鄂民政规〔2015〕6号）注销登记规范指引</w:t>
            </w:r>
            <w:r>
              <w:rPr>
                <w:rFonts w:hint="eastAsia" w:ascii="仿宋_GB2312" w:hAnsi="仿宋_GB2312" w:eastAsia="仿宋_GB2312" w:cs="仿宋_GB2312"/>
                <w:color w:val="auto"/>
                <w:szCs w:val="21"/>
                <w:lang w:val="en-US" w:eastAsia="zh-CN"/>
              </w:rPr>
              <w:t xml:space="preserve">  </w:t>
            </w:r>
            <w:r>
              <w:rPr>
                <w:rFonts w:hint="eastAsia" w:ascii="仿宋_GB2312" w:hAnsi="仿宋_GB2312" w:eastAsia="仿宋_GB2312" w:cs="仿宋_GB2312"/>
                <w:color w:val="auto"/>
                <w:szCs w:val="21"/>
              </w:rPr>
              <w:t>三、社会团体注销登记需提交的材料3.由社会审计机构出具的社会团体清算报告书；</w:t>
            </w:r>
          </w:p>
        </w:tc>
        <w:tc>
          <w:tcPr>
            <w:tcW w:w="1110" w:type="dxa"/>
            <w:vMerge w:val="continue"/>
            <w:vAlign w:val="center"/>
          </w:tcPr>
          <w:p w14:paraId="2BECB029">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67" w:type="dxa"/>
            <w:vMerge w:val="continue"/>
            <w:vAlign w:val="center"/>
          </w:tcPr>
          <w:p w14:paraId="60B70D46">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153" w:type="dxa"/>
            <w:vMerge w:val="continue"/>
            <w:vAlign w:val="center"/>
          </w:tcPr>
          <w:p w14:paraId="3400949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p>
        </w:tc>
        <w:tc>
          <w:tcPr>
            <w:tcW w:w="1165" w:type="dxa"/>
            <w:vMerge w:val="continue"/>
            <w:vAlign w:val="center"/>
          </w:tcPr>
          <w:p w14:paraId="6D308E5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p>
        </w:tc>
        <w:tc>
          <w:tcPr>
            <w:tcW w:w="1159" w:type="dxa"/>
            <w:vMerge w:val="continue"/>
            <w:vAlign w:val="center"/>
          </w:tcPr>
          <w:p w14:paraId="33D4465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53126A4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38" w:hRule="atLeast"/>
          <w:jc w:val="center"/>
        </w:trPr>
        <w:tc>
          <w:tcPr>
            <w:tcW w:w="594" w:type="dxa"/>
            <w:vMerge w:val="continue"/>
            <w:vAlign w:val="center"/>
          </w:tcPr>
          <w:p w14:paraId="681D8985">
            <w:pPr>
              <w:keepNext w:val="0"/>
              <w:keepLines w:val="0"/>
              <w:pageBreakBefore w:val="0"/>
              <w:kinsoku/>
              <w:wordWrap/>
              <w:overflowPunct/>
              <w:topLinePunct w:val="0"/>
              <w:autoSpaceDE/>
              <w:autoSpaceDN/>
              <w:bidi w:val="0"/>
              <w:adjustRightInd/>
              <w:snapToGrid/>
              <w:spacing w:line="280" w:lineRule="exact"/>
              <w:ind w:left="0" w:firstLineChars="0"/>
              <w:jc w:val="center"/>
              <w:rPr>
                <w:rFonts w:hint="eastAsia" w:ascii="仿宋_GB2312" w:hAnsi="仿宋_GB2312" w:eastAsia="仿宋_GB2312" w:cs="仿宋_GB2312"/>
                <w:color w:val="auto"/>
                <w:szCs w:val="21"/>
              </w:rPr>
            </w:pPr>
          </w:p>
        </w:tc>
        <w:tc>
          <w:tcPr>
            <w:tcW w:w="1313" w:type="dxa"/>
            <w:vMerge w:val="continue"/>
            <w:vAlign w:val="center"/>
          </w:tcPr>
          <w:p w14:paraId="635DDBE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648" w:type="dxa"/>
            <w:vAlign w:val="center"/>
          </w:tcPr>
          <w:p w14:paraId="55769698">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eastAsia="zh-CN"/>
              </w:rPr>
              <w:t>社会团体换届</w:t>
            </w:r>
          </w:p>
        </w:tc>
        <w:tc>
          <w:tcPr>
            <w:tcW w:w="6525" w:type="dxa"/>
            <w:vAlign w:val="center"/>
          </w:tcPr>
          <w:p w14:paraId="2490582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《关于印发&lt;湖北省社会团体换届规范指引&gt;的通知》湖北省社会团体换届规范指引</w:t>
            </w:r>
            <w:r>
              <w:rPr>
                <w:rFonts w:hint="eastAsia" w:ascii="仿宋_GB2312" w:hAnsi="仿宋_GB2312" w:eastAsia="仿宋_GB2312" w:cs="仿宋_GB2312"/>
                <w:color w:val="auto"/>
                <w:szCs w:val="21"/>
                <w:lang w:val="en-US" w:eastAsia="zh-CN"/>
              </w:rPr>
              <w:t xml:space="preserve">  </w:t>
            </w:r>
            <w:r>
              <w:rPr>
                <w:rFonts w:hint="eastAsia" w:ascii="仿宋_GB2312" w:hAnsi="仿宋_GB2312" w:eastAsia="仿宋_GB2312" w:cs="仿宋_GB2312"/>
                <w:color w:val="auto"/>
                <w:szCs w:val="21"/>
              </w:rPr>
              <w:t>三、换届前需向登记管理机关申报的材料8.本届理事会工作报告(草案）、财务报告(草案）及财务审计报告；</w:t>
            </w:r>
          </w:p>
        </w:tc>
        <w:tc>
          <w:tcPr>
            <w:tcW w:w="1110" w:type="dxa"/>
            <w:vMerge w:val="continue"/>
            <w:vAlign w:val="center"/>
          </w:tcPr>
          <w:p w14:paraId="270B33A6">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67" w:type="dxa"/>
            <w:vMerge w:val="continue"/>
            <w:vAlign w:val="center"/>
          </w:tcPr>
          <w:p w14:paraId="1AA2715F">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153" w:type="dxa"/>
            <w:vMerge w:val="continue"/>
            <w:vAlign w:val="center"/>
          </w:tcPr>
          <w:p w14:paraId="1D9DBCD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p>
        </w:tc>
        <w:tc>
          <w:tcPr>
            <w:tcW w:w="1165" w:type="dxa"/>
            <w:vMerge w:val="continue"/>
            <w:vAlign w:val="center"/>
          </w:tcPr>
          <w:p w14:paraId="55E6A02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p>
        </w:tc>
        <w:tc>
          <w:tcPr>
            <w:tcW w:w="1159" w:type="dxa"/>
            <w:vMerge w:val="continue"/>
            <w:vAlign w:val="center"/>
          </w:tcPr>
          <w:p w14:paraId="162475B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7B18B8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508" w:hRule="atLeast"/>
          <w:jc w:val="center"/>
        </w:trPr>
        <w:tc>
          <w:tcPr>
            <w:tcW w:w="594" w:type="dxa"/>
            <w:vAlign w:val="center"/>
          </w:tcPr>
          <w:p w14:paraId="4C459522">
            <w:pPr>
              <w:keepNext w:val="0"/>
              <w:keepLines w:val="0"/>
              <w:pageBreakBefore w:val="0"/>
              <w:numPr>
                <w:ilvl w:val="0"/>
                <w:numId w:val="1"/>
              </w:numPr>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Cs w:val="21"/>
              </w:rPr>
            </w:pPr>
          </w:p>
        </w:tc>
        <w:tc>
          <w:tcPr>
            <w:tcW w:w="1313" w:type="dxa"/>
            <w:vAlign w:val="center"/>
          </w:tcPr>
          <w:p w14:paraId="3AEF73A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出具验资报告或财务审计报告</w:t>
            </w:r>
          </w:p>
        </w:tc>
        <w:tc>
          <w:tcPr>
            <w:tcW w:w="1648" w:type="dxa"/>
            <w:vAlign w:val="center"/>
          </w:tcPr>
          <w:p w14:paraId="5187D59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劳务派遣经营许可（设立）</w:t>
            </w:r>
          </w:p>
        </w:tc>
        <w:tc>
          <w:tcPr>
            <w:tcW w:w="6525" w:type="dxa"/>
            <w:vAlign w:val="center"/>
          </w:tcPr>
          <w:p w14:paraId="4A99B0D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《中华人民共和国劳动合同法》第五十七条：经营劳务派遣业务，应当向劳动行政部门依法申请行政许可；经许可的，依法办理相应的公司登记。未经许可，任何单位和个人不得经营劳务派遣业务。</w:t>
            </w:r>
          </w:p>
          <w:p w14:paraId="442DEBE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《劳务派遣行政许可实施办法》第八条：申请经营劳务派遣业务的，申请人应当向许可机关提交下列材料：（三）公司章程以及验资机构出具的验资报告或者财务审计报告。</w:t>
            </w:r>
          </w:p>
        </w:tc>
        <w:tc>
          <w:tcPr>
            <w:tcW w:w="1110" w:type="dxa"/>
            <w:vAlign w:val="center"/>
          </w:tcPr>
          <w:p w14:paraId="7C25303D">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eastAsia="zh-CN"/>
              </w:rPr>
              <w:t>梁子湖区</w:t>
            </w:r>
          </w:p>
          <w:p w14:paraId="3DA26CE0">
            <w:pPr>
              <w:keepNext w:val="0"/>
              <w:keepLines w:val="0"/>
              <w:pageBreakBefore w:val="0"/>
              <w:kinsoku/>
              <w:wordWrap/>
              <w:overflowPunct/>
              <w:topLinePunct w:val="0"/>
              <w:autoSpaceDE/>
              <w:autoSpaceDN/>
              <w:bidi w:val="0"/>
              <w:adjustRightInd/>
              <w:snapToGrid/>
              <w:spacing w:line="280" w:lineRule="exact"/>
              <w:ind w:left="0" w:leftChars="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人社局</w:t>
            </w:r>
          </w:p>
        </w:tc>
        <w:tc>
          <w:tcPr>
            <w:tcW w:w="1367" w:type="dxa"/>
            <w:vAlign w:val="center"/>
          </w:tcPr>
          <w:p w14:paraId="5F6A4FF6">
            <w:pPr>
              <w:keepNext w:val="0"/>
              <w:keepLines w:val="0"/>
              <w:pageBreakBefore w:val="0"/>
              <w:tabs>
                <w:tab w:val="left" w:pos="427"/>
              </w:tabs>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第三方中介服务机构，法定验资机构</w:t>
            </w:r>
          </w:p>
        </w:tc>
        <w:tc>
          <w:tcPr>
            <w:tcW w:w="1153" w:type="dxa"/>
            <w:vAlign w:val="center"/>
          </w:tcPr>
          <w:p w14:paraId="6ED82D6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Align w:val="center"/>
          </w:tcPr>
          <w:p w14:paraId="4B5BABB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vAlign w:val="center"/>
          </w:tcPr>
          <w:p w14:paraId="0594860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p>
        </w:tc>
      </w:tr>
      <w:tr w14:paraId="6EA261A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0" w:hRule="atLeast"/>
          <w:jc w:val="center"/>
        </w:trPr>
        <w:tc>
          <w:tcPr>
            <w:tcW w:w="594" w:type="dxa"/>
            <w:vAlign w:val="center"/>
          </w:tcPr>
          <w:p w14:paraId="33A9FE85">
            <w:pPr>
              <w:keepNext w:val="0"/>
              <w:keepLines w:val="0"/>
              <w:pageBreakBefore w:val="0"/>
              <w:numPr>
                <w:ilvl w:val="0"/>
                <w:numId w:val="1"/>
              </w:numPr>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Cs w:val="21"/>
              </w:rPr>
            </w:pPr>
          </w:p>
        </w:tc>
        <w:tc>
          <w:tcPr>
            <w:tcW w:w="1313" w:type="dxa"/>
            <w:vAlign w:val="center"/>
          </w:tcPr>
          <w:p w14:paraId="25F8995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资产评估报告书</w:t>
            </w:r>
          </w:p>
        </w:tc>
        <w:tc>
          <w:tcPr>
            <w:tcW w:w="1648" w:type="dxa"/>
            <w:vAlign w:val="center"/>
          </w:tcPr>
          <w:p w14:paraId="753ADFD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民办职业培训机构办学资格审批（设立、变更注册资本、年度经营情况核验）</w:t>
            </w:r>
          </w:p>
        </w:tc>
        <w:tc>
          <w:tcPr>
            <w:tcW w:w="6525" w:type="dxa"/>
            <w:vAlign w:val="center"/>
          </w:tcPr>
          <w:p w14:paraId="2678B82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《中华人民共和国民办教育促进法》第十二条申请筹设民办学校，举办者应当向审批机关提交下列材料：（三）资产来源、资金数额及有效证明文件，并载明产权。第十四条 申请正式设立民办学校的，举办者应当向审批机关提交下列材料：（四）学校资产的有效证明文件。</w:t>
            </w:r>
          </w:p>
        </w:tc>
        <w:tc>
          <w:tcPr>
            <w:tcW w:w="1110" w:type="dxa"/>
            <w:vAlign w:val="center"/>
          </w:tcPr>
          <w:p w14:paraId="3EF7365D">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eastAsia="zh-CN"/>
              </w:rPr>
              <w:t>梁子湖区</w:t>
            </w:r>
          </w:p>
          <w:p w14:paraId="363C0C4E">
            <w:pPr>
              <w:keepNext w:val="0"/>
              <w:keepLines w:val="0"/>
              <w:pageBreakBefore w:val="0"/>
              <w:kinsoku/>
              <w:wordWrap/>
              <w:overflowPunct/>
              <w:topLinePunct w:val="0"/>
              <w:autoSpaceDE/>
              <w:autoSpaceDN/>
              <w:bidi w:val="0"/>
              <w:adjustRightInd/>
              <w:snapToGrid/>
              <w:spacing w:line="280" w:lineRule="exact"/>
              <w:ind w:left="0" w:leftChars="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人社局</w:t>
            </w:r>
          </w:p>
        </w:tc>
        <w:tc>
          <w:tcPr>
            <w:tcW w:w="1367" w:type="dxa"/>
            <w:vAlign w:val="center"/>
          </w:tcPr>
          <w:p w14:paraId="70135A53">
            <w:pPr>
              <w:keepNext w:val="0"/>
              <w:keepLines w:val="0"/>
              <w:pageBreakBefore w:val="0"/>
              <w:tabs>
                <w:tab w:val="left" w:pos="427"/>
              </w:tabs>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具有资质的第三方机构</w:t>
            </w:r>
          </w:p>
        </w:tc>
        <w:tc>
          <w:tcPr>
            <w:tcW w:w="1153" w:type="dxa"/>
            <w:vAlign w:val="center"/>
          </w:tcPr>
          <w:p w14:paraId="1A846E3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Align w:val="center"/>
          </w:tcPr>
          <w:p w14:paraId="21FB800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vAlign w:val="center"/>
          </w:tcPr>
          <w:p w14:paraId="075E876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p>
        </w:tc>
      </w:tr>
      <w:tr w14:paraId="57D4DD7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346" w:hRule="atLeast"/>
          <w:jc w:val="center"/>
        </w:trPr>
        <w:tc>
          <w:tcPr>
            <w:tcW w:w="594" w:type="dxa"/>
            <w:vAlign w:val="center"/>
          </w:tcPr>
          <w:p w14:paraId="0D20C3BA">
            <w:pPr>
              <w:keepNext w:val="0"/>
              <w:keepLines w:val="0"/>
              <w:pageBreakBefore w:val="0"/>
              <w:numPr>
                <w:ilvl w:val="0"/>
                <w:numId w:val="1"/>
              </w:numPr>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Cs w:val="21"/>
              </w:rPr>
            </w:pPr>
          </w:p>
        </w:tc>
        <w:tc>
          <w:tcPr>
            <w:tcW w:w="1313" w:type="dxa"/>
            <w:vAlign w:val="center"/>
          </w:tcPr>
          <w:p w14:paraId="21D5BBF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出具矿业权价款评估报告（矿业权出让评估报告）</w:t>
            </w:r>
          </w:p>
        </w:tc>
        <w:tc>
          <w:tcPr>
            <w:tcW w:w="1648" w:type="dxa"/>
            <w:vMerge w:val="restart"/>
            <w:vAlign w:val="center"/>
          </w:tcPr>
          <w:p w14:paraId="385A76D1">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采矿权登记</w:t>
            </w:r>
          </w:p>
        </w:tc>
        <w:tc>
          <w:tcPr>
            <w:tcW w:w="6525" w:type="dxa"/>
            <w:vMerge w:val="restart"/>
            <w:vAlign w:val="center"/>
          </w:tcPr>
          <w:p w14:paraId="6A06193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《矿产资源开采登记管理办法》第十条 国家出资勘查形成的采矿权价款，由具有矿业权评估资质的评估机构进行评估；评估报告报登记管理机关备案。</w:t>
            </w:r>
          </w:p>
          <w:p w14:paraId="1C0B61A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《国务院关于印发矿产资源权益金制度改革方案的通知》</w:t>
            </w:r>
          </w:p>
          <w:p w14:paraId="14885AA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《财政部、国土资源部关于印发矿业权出让收益增收管理暂行办法的通知》</w:t>
            </w:r>
          </w:p>
          <w:p w14:paraId="0BA6348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shd w:val="clear" w:color="auto" w:fill="FFFFFF"/>
              </w:rPr>
            </w:pPr>
            <w:r>
              <w:rPr>
                <w:rFonts w:hint="eastAsia" w:ascii="仿宋_GB2312" w:hAnsi="仿宋_GB2312" w:eastAsia="仿宋_GB2312" w:cs="仿宋_GB2312"/>
                <w:color w:val="auto"/>
                <w:szCs w:val="21"/>
                <w:shd w:val="clear" w:color="auto" w:fill="FFFFFF"/>
              </w:rPr>
              <w:t>《国土资源部关于做好矿业权价款评估备案核准取消后有关工作的通知》（国土资规〔2017〕5号）</w:t>
            </w:r>
          </w:p>
          <w:p w14:paraId="08B1E5F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shd w:val="clear" w:color="auto" w:fill="FFFFFF"/>
              </w:rPr>
              <w:t>《国土资源部关于进一步规范矿业权申请资料的通知》（国土资规</w:t>
            </w:r>
            <w:r>
              <w:rPr>
                <w:rFonts w:hint="eastAsia" w:ascii="仿宋_GB2312" w:hAnsi="仿宋_GB2312" w:eastAsia="仿宋_GB2312" w:cs="仿宋_GB2312"/>
                <w:color w:val="auto"/>
                <w:szCs w:val="21"/>
                <w:shd w:val="clear" w:color="auto" w:fill="FFFFFF"/>
              </w:rPr>
              <w:t>〔2017〕</w:t>
            </w:r>
            <w:r>
              <w:rPr>
                <w:rFonts w:hint="eastAsia" w:ascii="仿宋_GB2312" w:hAnsi="仿宋_GB2312" w:eastAsia="仿宋_GB2312" w:cs="仿宋_GB2312"/>
                <w:color w:val="auto"/>
                <w:kern w:val="0"/>
                <w:szCs w:val="21"/>
                <w:shd w:val="clear" w:color="auto" w:fill="FFFFFF"/>
              </w:rPr>
              <w:t>15号）</w:t>
            </w:r>
          </w:p>
          <w:p w14:paraId="4E54891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《矿产资源开采登记管理办法》第四条 采矿权申请人在提出采矿权申请前，应当根据经批准的地质勘查储量报告，向登记管理机关申请划定矿区范围。需要申请立项，设立矿山企业的，应当根据划定的矿区范围，按照国家规定办理有关手续。</w:t>
            </w:r>
          </w:p>
          <w:p w14:paraId="6F3D6DB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《矿产资源开采登记管理办法》第五条 采矿权申请人申请办理采矿许可证时，应当向登记管理机关提交下列资料：（三）矿产资源开发利用方案。</w:t>
            </w:r>
          </w:p>
          <w:p w14:paraId="1D4AFDD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shd w:val="clear" w:color="auto" w:fill="FFFFFF"/>
              </w:rPr>
              <w:t>《省国土资源厅办公室关于推进矿产资源开发利用及生态复绿方案编制及评审工作的通知》（鄂土资办文〔2016〕22号）</w:t>
            </w:r>
          </w:p>
        </w:tc>
        <w:tc>
          <w:tcPr>
            <w:tcW w:w="1110" w:type="dxa"/>
            <w:vMerge w:val="restart"/>
            <w:vAlign w:val="center"/>
          </w:tcPr>
          <w:p w14:paraId="1E47BABC">
            <w:pPr>
              <w:keepNext w:val="0"/>
              <w:keepLines w:val="0"/>
              <w:pageBreakBefore w:val="0"/>
              <w:kinsoku/>
              <w:wordWrap/>
              <w:overflowPunct/>
              <w:topLinePunct w:val="0"/>
              <w:autoSpaceDE/>
              <w:autoSpaceDN/>
              <w:bidi w:val="0"/>
              <w:adjustRightInd/>
              <w:snapToGrid/>
              <w:spacing w:line="280" w:lineRule="exact"/>
              <w:ind w:left="0" w:leftChars="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梁子湖区</w:t>
            </w:r>
            <w:r>
              <w:rPr>
                <w:rFonts w:hint="eastAsia" w:ascii="仿宋_GB2312" w:hAnsi="仿宋_GB2312" w:eastAsia="仿宋_GB2312" w:cs="仿宋_GB2312"/>
                <w:color w:val="auto"/>
                <w:szCs w:val="21"/>
              </w:rPr>
              <w:t>自然资源</w:t>
            </w:r>
            <w:r>
              <w:rPr>
                <w:rFonts w:hint="eastAsia" w:ascii="仿宋_GB2312" w:hAnsi="仿宋_GB2312" w:eastAsia="仿宋_GB2312" w:cs="仿宋_GB2312"/>
                <w:color w:val="auto"/>
                <w:szCs w:val="21"/>
                <w:lang w:eastAsia="zh-CN"/>
              </w:rPr>
              <w:t>和规划分局</w:t>
            </w:r>
          </w:p>
        </w:tc>
        <w:tc>
          <w:tcPr>
            <w:tcW w:w="1367" w:type="dxa"/>
            <w:vAlign w:val="center"/>
          </w:tcPr>
          <w:p w14:paraId="2DCEA184">
            <w:pPr>
              <w:keepNext w:val="0"/>
              <w:keepLines w:val="0"/>
              <w:pageBreakBefore w:val="0"/>
              <w:tabs>
                <w:tab w:val="left" w:pos="427"/>
              </w:tabs>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具有资质的矿业权评估机构</w:t>
            </w:r>
          </w:p>
        </w:tc>
        <w:tc>
          <w:tcPr>
            <w:tcW w:w="1153" w:type="dxa"/>
            <w:vMerge w:val="restart"/>
            <w:vAlign w:val="center"/>
          </w:tcPr>
          <w:p w14:paraId="0CC6E10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原则上一个月完成，情况复杂的除外</w:t>
            </w:r>
          </w:p>
        </w:tc>
        <w:tc>
          <w:tcPr>
            <w:tcW w:w="1165" w:type="dxa"/>
            <w:vMerge w:val="restart"/>
            <w:vAlign w:val="center"/>
          </w:tcPr>
          <w:p w14:paraId="51A4FC79">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41522B1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59" w:type="dxa"/>
            <w:vMerge w:val="restart"/>
            <w:vAlign w:val="center"/>
          </w:tcPr>
          <w:p w14:paraId="4EA95F0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采矿权登记（新设）由审批部门付费委托中介机构，其他事项涉及的按要求由申请人自行编制或付费委托中介机构编制</w:t>
            </w:r>
          </w:p>
        </w:tc>
      </w:tr>
      <w:tr w14:paraId="13A2342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0" w:hRule="atLeast"/>
          <w:jc w:val="center"/>
        </w:trPr>
        <w:tc>
          <w:tcPr>
            <w:tcW w:w="594" w:type="dxa"/>
            <w:vAlign w:val="center"/>
          </w:tcPr>
          <w:p w14:paraId="309F8A32">
            <w:pPr>
              <w:keepNext w:val="0"/>
              <w:keepLines w:val="0"/>
              <w:pageBreakBefore w:val="0"/>
              <w:numPr>
                <w:ilvl w:val="0"/>
                <w:numId w:val="1"/>
              </w:numPr>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Cs w:val="21"/>
              </w:rPr>
            </w:pPr>
          </w:p>
        </w:tc>
        <w:tc>
          <w:tcPr>
            <w:tcW w:w="1313" w:type="dxa"/>
            <w:vAlign w:val="center"/>
          </w:tcPr>
          <w:p w14:paraId="67B6821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非金属采矿权储量核实报告</w:t>
            </w:r>
          </w:p>
        </w:tc>
        <w:tc>
          <w:tcPr>
            <w:tcW w:w="1648" w:type="dxa"/>
            <w:vMerge w:val="continue"/>
            <w:vAlign w:val="center"/>
          </w:tcPr>
          <w:p w14:paraId="6A3E501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6525" w:type="dxa"/>
            <w:vMerge w:val="continue"/>
            <w:vAlign w:val="center"/>
          </w:tcPr>
          <w:p w14:paraId="0F02E65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10" w:type="dxa"/>
            <w:vMerge w:val="continue"/>
            <w:vAlign w:val="center"/>
          </w:tcPr>
          <w:p w14:paraId="32FE54D2">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67" w:type="dxa"/>
            <w:vAlign w:val="center"/>
          </w:tcPr>
          <w:p w14:paraId="1BEE18C0">
            <w:pPr>
              <w:keepNext w:val="0"/>
              <w:keepLines w:val="0"/>
              <w:pageBreakBefore w:val="0"/>
              <w:tabs>
                <w:tab w:val="left" w:pos="427"/>
              </w:tabs>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申请人可按要求自行编制，也可委托有关机构编制</w:t>
            </w:r>
          </w:p>
        </w:tc>
        <w:tc>
          <w:tcPr>
            <w:tcW w:w="1153" w:type="dxa"/>
            <w:vMerge w:val="continue"/>
            <w:vAlign w:val="center"/>
          </w:tcPr>
          <w:p w14:paraId="59FF68B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65" w:type="dxa"/>
            <w:vMerge w:val="continue"/>
            <w:vAlign w:val="center"/>
          </w:tcPr>
          <w:p w14:paraId="4AB57B2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9" w:type="dxa"/>
            <w:vMerge w:val="continue"/>
            <w:vAlign w:val="center"/>
          </w:tcPr>
          <w:p w14:paraId="4807522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4AE416D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525" w:hRule="atLeast"/>
          <w:jc w:val="center"/>
        </w:trPr>
        <w:tc>
          <w:tcPr>
            <w:tcW w:w="594" w:type="dxa"/>
            <w:vAlign w:val="center"/>
          </w:tcPr>
          <w:p w14:paraId="1102FE27">
            <w:pPr>
              <w:keepNext w:val="0"/>
              <w:keepLines w:val="0"/>
              <w:pageBreakBefore w:val="0"/>
              <w:numPr>
                <w:ilvl w:val="0"/>
                <w:numId w:val="1"/>
              </w:numPr>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Cs w:val="21"/>
              </w:rPr>
            </w:pPr>
          </w:p>
        </w:tc>
        <w:tc>
          <w:tcPr>
            <w:tcW w:w="1313" w:type="dxa"/>
            <w:vAlign w:val="center"/>
          </w:tcPr>
          <w:p w14:paraId="5FCB3E6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shd w:val="clear" w:color="auto" w:fill="FFFFFF"/>
              </w:rPr>
              <w:t>矿产资源开发利用与生态复绿方案</w:t>
            </w:r>
          </w:p>
        </w:tc>
        <w:tc>
          <w:tcPr>
            <w:tcW w:w="1648" w:type="dxa"/>
            <w:vMerge w:val="continue"/>
            <w:vAlign w:val="center"/>
          </w:tcPr>
          <w:p w14:paraId="1A9D8F9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6525" w:type="dxa"/>
            <w:vMerge w:val="continue"/>
            <w:vAlign w:val="center"/>
          </w:tcPr>
          <w:p w14:paraId="0F03461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10" w:type="dxa"/>
            <w:vMerge w:val="continue"/>
            <w:vAlign w:val="center"/>
          </w:tcPr>
          <w:p w14:paraId="6F64CC4B">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67" w:type="dxa"/>
            <w:vAlign w:val="center"/>
          </w:tcPr>
          <w:p w14:paraId="3296F0FB">
            <w:pPr>
              <w:keepNext w:val="0"/>
              <w:keepLines w:val="0"/>
              <w:pageBreakBefore w:val="0"/>
              <w:tabs>
                <w:tab w:val="left" w:pos="427"/>
              </w:tabs>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申请人可按要求自行编制，也可委托有关机构编制</w:t>
            </w:r>
          </w:p>
        </w:tc>
        <w:tc>
          <w:tcPr>
            <w:tcW w:w="1153" w:type="dxa"/>
            <w:vMerge w:val="continue"/>
            <w:vAlign w:val="center"/>
          </w:tcPr>
          <w:p w14:paraId="486E4A2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65" w:type="dxa"/>
            <w:vMerge w:val="continue"/>
            <w:vAlign w:val="center"/>
          </w:tcPr>
          <w:p w14:paraId="32582BA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9" w:type="dxa"/>
            <w:vMerge w:val="continue"/>
            <w:vAlign w:val="center"/>
          </w:tcPr>
          <w:p w14:paraId="487F8A0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4CC477A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892" w:hRule="atLeast"/>
          <w:jc w:val="center"/>
        </w:trPr>
        <w:tc>
          <w:tcPr>
            <w:tcW w:w="594" w:type="dxa"/>
            <w:vMerge w:val="restart"/>
            <w:vAlign w:val="center"/>
          </w:tcPr>
          <w:p w14:paraId="3FCDCAB1">
            <w:pPr>
              <w:keepNext w:val="0"/>
              <w:keepLines w:val="0"/>
              <w:pageBreakBefore w:val="0"/>
              <w:numPr>
                <w:ilvl w:val="0"/>
                <w:numId w:val="1"/>
              </w:numPr>
              <w:kinsoku/>
              <w:wordWrap/>
              <w:overflowPunct/>
              <w:topLinePunct w:val="0"/>
              <w:autoSpaceDE/>
              <w:autoSpaceDN/>
              <w:bidi w:val="0"/>
              <w:adjustRightInd/>
              <w:snapToGrid/>
              <w:spacing w:line="280" w:lineRule="exact"/>
              <w:ind w:left="0" w:leftChars="0" w:firstLine="0" w:firstLineChars="0"/>
              <w:jc w:val="center"/>
              <w:rPr>
                <w:rFonts w:ascii="仿宋_GB2312" w:hAnsi="仿宋_GB2312" w:eastAsia="仿宋_GB2312" w:cs="仿宋_GB2312"/>
                <w:color w:val="auto"/>
                <w:szCs w:val="21"/>
              </w:rPr>
            </w:pPr>
          </w:p>
        </w:tc>
        <w:tc>
          <w:tcPr>
            <w:tcW w:w="1313" w:type="dxa"/>
            <w:vMerge w:val="restart"/>
            <w:vAlign w:val="center"/>
          </w:tcPr>
          <w:p w14:paraId="21DBC07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勘测定界及技术报告书编制</w:t>
            </w:r>
          </w:p>
        </w:tc>
        <w:tc>
          <w:tcPr>
            <w:tcW w:w="1648" w:type="dxa"/>
            <w:vAlign w:val="center"/>
          </w:tcPr>
          <w:p w14:paraId="754FB37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国有建设用地使用权审批</w:t>
            </w:r>
          </w:p>
        </w:tc>
        <w:tc>
          <w:tcPr>
            <w:tcW w:w="6525" w:type="dxa"/>
            <w:vMerge w:val="restart"/>
            <w:vAlign w:val="center"/>
          </w:tcPr>
          <w:p w14:paraId="087A28E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用地审查报批管理办法》（国土资源部令2010年第49号）第九条：建设项目用地呈报说明书应当包括项目用地安排情况，拟使用土地情况等，并应附具以下材料：（一）经批准的市、县土地利用总体规划图和分幅土地利用现状图，占用基本农田的，还应提供乡级土地利用总体规划图；（二）由建设单位提交的、有资格的单位出具的勘测定界图及勘测定界技术报告书；（三）地籍资料或者其他土地权属证明材料；（四）以有偿方式供地的，还应当提供草签的土地有偿使用合同及说明和有关文件；（五）为实施城市规划和村庄、集镇规划占用土地的，还应当提供城市规划图和村庄、集镇规划图。</w:t>
            </w:r>
          </w:p>
          <w:p w14:paraId="75D53AD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临时用地管理办法》第七条：需要临时使用土地的，除本方法第九条规定的清形外，应当向有批准权的人民政府土地行政主管部门提出书面申请，并提交临时用地的地形图、临时建筑平面位置图和国有土地使用者、集体土地所有者的书面意见，以及依法应当提交的其他有关部门的意见。在城市规划区内的临时用地或者临时使用林地，还应当分别提交城市规划行政主管部门、林业行政主管部门审查同意的文件。确需临时占用耕地的，应当提交土地复垦计划书。</w:t>
            </w:r>
          </w:p>
        </w:tc>
        <w:tc>
          <w:tcPr>
            <w:tcW w:w="1110" w:type="dxa"/>
            <w:vMerge w:val="restart"/>
            <w:vAlign w:val="center"/>
          </w:tcPr>
          <w:p w14:paraId="17443BC3">
            <w:pPr>
              <w:keepNext w:val="0"/>
              <w:keepLines w:val="0"/>
              <w:pageBreakBefore w:val="0"/>
              <w:kinsoku/>
              <w:wordWrap/>
              <w:overflowPunct/>
              <w:topLinePunct w:val="0"/>
              <w:autoSpaceDE/>
              <w:autoSpaceDN/>
              <w:bidi w:val="0"/>
              <w:adjustRightInd/>
              <w:snapToGrid/>
              <w:spacing w:line="280" w:lineRule="exact"/>
              <w:ind w:left="0" w:leftChars="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梁子湖区</w:t>
            </w:r>
            <w:r>
              <w:rPr>
                <w:rFonts w:hint="eastAsia" w:ascii="仿宋_GB2312" w:hAnsi="仿宋_GB2312" w:eastAsia="仿宋_GB2312" w:cs="仿宋_GB2312"/>
                <w:color w:val="auto"/>
                <w:szCs w:val="21"/>
              </w:rPr>
              <w:t>自然资源</w:t>
            </w:r>
            <w:r>
              <w:rPr>
                <w:rFonts w:hint="eastAsia" w:ascii="仿宋_GB2312" w:hAnsi="仿宋_GB2312" w:eastAsia="仿宋_GB2312" w:cs="仿宋_GB2312"/>
                <w:color w:val="auto"/>
                <w:szCs w:val="21"/>
                <w:lang w:eastAsia="zh-CN"/>
              </w:rPr>
              <w:t>和规划分局</w:t>
            </w:r>
          </w:p>
        </w:tc>
        <w:tc>
          <w:tcPr>
            <w:tcW w:w="1367" w:type="dxa"/>
            <w:vMerge w:val="restart"/>
            <w:vAlign w:val="center"/>
          </w:tcPr>
          <w:p w14:paraId="57CEE395">
            <w:pPr>
              <w:keepNext w:val="0"/>
              <w:keepLines w:val="0"/>
              <w:pageBreakBefore w:val="0"/>
              <w:tabs>
                <w:tab w:val="left" w:pos="427"/>
              </w:tabs>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具有资质的第三方机构</w:t>
            </w:r>
          </w:p>
        </w:tc>
        <w:tc>
          <w:tcPr>
            <w:tcW w:w="1153" w:type="dxa"/>
            <w:vMerge w:val="restart"/>
            <w:vAlign w:val="center"/>
          </w:tcPr>
          <w:p w14:paraId="58912C67">
            <w:pPr>
              <w:keepNext w:val="0"/>
              <w:keepLines w:val="0"/>
              <w:pageBreakBefore w:val="0"/>
              <w:kinsoku/>
              <w:wordWrap/>
              <w:overflowPunct/>
              <w:topLinePunct w:val="0"/>
              <w:autoSpaceDE/>
              <w:autoSpaceDN/>
              <w:bidi w:val="0"/>
              <w:adjustRightInd/>
              <w:snapToGrid/>
              <w:spacing w:line="280" w:lineRule="exact"/>
              <w:ind w:lef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Merge w:val="restart"/>
            <w:vAlign w:val="center"/>
          </w:tcPr>
          <w:p w14:paraId="18D7249F">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148D634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59" w:type="dxa"/>
            <w:vMerge w:val="restart"/>
            <w:vAlign w:val="center"/>
          </w:tcPr>
          <w:p w14:paraId="596A08F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26B1DEE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118" w:hRule="atLeast"/>
          <w:jc w:val="center"/>
        </w:trPr>
        <w:tc>
          <w:tcPr>
            <w:tcW w:w="594" w:type="dxa"/>
            <w:vMerge w:val="continue"/>
            <w:vAlign w:val="center"/>
          </w:tcPr>
          <w:p w14:paraId="66832077">
            <w:pPr>
              <w:keepNext w:val="0"/>
              <w:keepLines w:val="0"/>
              <w:pageBreakBefore w:val="0"/>
              <w:kinsoku/>
              <w:wordWrap/>
              <w:overflowPunct/>
              <w:topLinePunct w:val="0"/>
              <w:autoSpaceDE/>
              <w:autoSpaceDN/>
              <w:bidi w:val="0"/>
              <w:adjustRightInd/>
              <w:snapToGrid/>
              <w:spacing w:line="280" w:lineRule="exact"/>
              <w:ind w:left="0" w:firstLineChars="0"/>
              <w:jc w:val="center"/>
              <w:rPr>
                <w:rFonts w:hint="eastAsia" w:ascii="仿宋_GB2312" w:hAnsi="仿宋_GB2312" w:eastAsia="仿宋_GB2312" w:cs="仿宋_GB2312"/>
                <w:color w:val="auto"/>
                <w:szCs w:val="21"/>
              </w:rPr>
            </w:pPr>
          </w:p>
        </w:tc>
        <w:tc>
          <w:tcPr>
            <w:tcW w:w="1313" w:type="dxa"/>
            <w:vMerge w:val="continue"/>
            <w:vAlign w:val="center"/>
          </w:tcPr>
          <w:p w14:paraId="776E931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648" w:type="dxa"/>
            <w:vAlign w:val="center"/>
          </w:tcPr>
          <w:p w14:paraId="4970B53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集体建设用地审核</w:t>
            </w:r>
          </w:p>
        </w:tc>
        <w:tc>
          <w:tcPr>
            <w:tcW w:w="6525" w:type="dxa"/>
            <w:vMerge w:val="continue"/>
            <w:vAlign w:val="center"/>
          </w:tcPr>
          <w:p w14:paraId="51E027B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10" w:type="dxa"/>
            <w:vMerge w:val="continue"/>
            <w:vAlign w:val="center"/>
          </w:tcPr>
          <w:p w14:paraId="39B420A8">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67" w:type="dxa"/>
            <w:vMerge w:val="continue"/>
            <w:vAlign w:val="center"/>
          </w:tcPr>
          <w:p w14:paraId="5AA81501">
            <w:pPr>
              <w:keepNext w:val="0"/>
              <w:keepLines w:val="0"/>
              <w:pageBreakBefore w:val="0"/>
              <w:tabs>
                <w:tab w:val="left" w:pos="427"/>
              </w:tabs>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3" w:type="dxa"/>
            <w:vMerge w:val="continue"/>
            <w:vAlign w:val="center"/>
          </w:tcPr>
          <w:p w14:paraId="3857291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65" w:type="dxa"/>
            <w:vMerge w:val="continue"/>
            <w:vAlign w:val="center"/>
          </w:tcPr>
          <w:p w14:paraId="66CAB74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9" w:type="dxa"/>
            <w:vMerge w:val="continue"/>
            <w:vAlign w:val="center"/>
          </w:tcPr>
          <w:p w14:paraId="2982BE5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5F833AC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157" w:hRule="atLeast"/>
          <w:jc w:val="center"/>
        </w:trPr>
        <w:tc>
          <w:tcPr>
            <w:tcW w:w="594" w:type="dxa"/>
            <w:vMerge w:val="continue"/>
            <w:vAlign w:val="center"/>
          </w:tcPr>
          <w:p w14:paraId="2D9CEED6">
            <w:pPr>
              <w:keepNext w:val="0"/>
              <w:keepLines w:val="0"/>
              <w:pageBreakBefore w:val="0"/>
              <w:kinsoku/>
              <w:wordWrap/>
              <w:overflowPunct/>
              <w:topLinePunct w:val="0"/>
              <w:autoSpaceDE/>
              <w:autoSpaceDN/>
              <w:bidi w:val="0"/>
              <w:adjustRightInd/>
              <w:snapToGrid/>
              <w:spacing w:line="280" w:lineRule="exact"/>
              <w:ind w:left="0" w:firstLineChars="0"/>
              <w:jc w:val="center"/>
              <w:rPr>
                <w:rFonts w:hint="eastAsia" w:ascii="仿宋_GB2312" w:hAnsi="仿宋_GB2312" w:eastAsia="仿宋_GB2312" w:cs="仿宋_GB2312"/>
                <w:color w:val="auto"/>
                <w:szCs w:val="21"/>
              </w:rPr>
            </w:pPr>
          </w:p>
        </w:tc>
        <w:tc>
          <w:tcPr>
            <w:tcW w:w="1313" w:type="dxa"/>
            <w:vMerge w:val="continue"/>
            <w:vAlign w:val="center"/>
          </w:tcPr>
          <w:p w14:paraId="3148644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648" w:type="dxa"/>
            <w:vAlign w:val="center"/>
          </w:tcPr>
          <w:p w14:paraId="7BF52DC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农用地转用和土地征收方案的初审</w:t>
            </w:r>
          </w:p>
        </w:tc>
        <w:tc>
          <w:tcPr>
            <w:tcW w:w="6525" w:type="dxa"/>
            <w:vMerge w:val="continue"/>
            <w:vAlign w:val="center"/>
          </w:tcPr>
          <w:p w14:paraId="7C1B2C8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10" w:type="dxa"/>
            <w:vMerge w:val="continue"/>
            <w:vAlign w:val="center"/>
          </w:tcPr>
          <w:p w14:paraId="0D425401">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67" w:type="dxa"/>
            <w:vMerge w:val="continue"/>
            <w:vAlign w:val="center"/>
          </w:tcPr>
          <w:p w14:paraId="17081CF2">
            <w:pPr>
              <w:keepNext w:val="0"/>
              <w:keepLines w:val="0"/>
              <w:pageBreakBefore w:val="0"/>
              <w:tabs>
                <w:tab w:val="left" w:pos="427"/>
              </w:tabs>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3" w:type="dxa"/>
            <w:vMerge w:val="continue"/>
            <w:vAlign w:val="center"/>
          </w:tcPr>
          <w:p w14:paraId="1234D16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65" w:type="dxa"/>
            <w:vMerge w:val="continue"/>
            <w:vAlign w:val="center"/>
          </w:tcPr>
          <w:p w14:paraId="39FF878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9" w:type="dxa"/>
            <w:vMerge w:val="continue"/>
            <w:vAlign w:val="center"/>
          </w:tcPr>
          <w:p w14:paraId="2564FE8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1B3BC7B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32" w:hRule="atLeast"/>
          <w:jc w:val="center"/>
        </w:trPr>
        <w:tc>
          <w:tcPr>
            <w:tcW w:w="594" w:type="dxa"/>
            <w:vMerge w:val="continue"/>
            <w:vAlign w:val="center"/>
          </w:tcPr>
          <w:p w14:paraId="1AAFB351">
            <w:pPr>
              <w:keepNext w:val="0"/>
              <w:keepLines w:val="0"/>
              <w:pageBreakBefore w:val="0"/>
              <w:kinsoku/>
              <w:wordWrap/>
              <w:overflowPunct/>
              <w:topLinePunct w:val="0"/>
              <w:autoSpaceDE/>
              <w:autoSpaceDN/>
              <w:bidi w:val="0"/>
              <w:adjustRightInd/>
              <w:snapToGrid/>
              <w:spacing w:line="280" w:lineRule="exact"/>
              <w:ind w:left="0" w:firstLineChars="0"/>
              <w:jc w:val="center"/>
              <w:rPr>
                <w:rFonts w:hint="eastAsia" w:ascii="仿宋_GB2312" w:hAnsi="仿宋_GB2312" w:eastAsia="仿宋_GB2312" w:cs="仿宋_GB2312"/>
                <w:color w:val="auto"/>
                <w:szCs w:val="21"/>
              </w:rPr>
            </w:pPr>
          </w:p>
        </w:tc>
        <w:tc>
          <w:tcPr>
            <w:tcW w:w="1313" w:type="dxa"/>
            <w:vMerge w:val="continue"/>
            <w:vAlign w:val="center"/>
          </w:tcPr>
          <w:p w14:paraId="386E64D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648" w:type="dxa"/>
            <w:vAlign w:val="center"/>
          </w:tcPr>
          <w:p w14:paraId="33C1BE45">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临时用地审批</w:t>
            </w:r>
          </w:p>
        </w:tc>
        <w:tc>
          <w:tcPr>
            <w:tcW w:w="6525" w:type="dxa"/>
            <w:vMerge w:val="continue"/>
            <w:vAlign w:val="center"/>
          </w:tcPr>
          <w:p w14:paraId="72B4FE3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10" w:type="dxa"/>
            <w:vMerge w:val="continue"/>
            <w:vAlign w:val="center"/>
          </w:tcPr>
          <w:p w14:paraId="4732FEA8">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67" w:type="dxa"/>
            <w:vMerge w:val="continue"/>
            <w:vAlign w:val="center"/>
          </w:tcPr>
          <w:p w14:paraId="2E852610">
            <w:pPr>
              <w:keepNext w:val="0"/>
              <w:keepLines w:val="0"/>
              <w:pageBreakBefore w:val="0"/>
              <w:tabs>
                <w:tab w:val="left" w:pos="427"/>
              </w:tabs>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3" w:type="dxa"/>
            <w:vMerge w:val="continue"/>
            <w:vAlign w:val="center"/>
          </w:tcPr>
          <w:p w14:paraId="078D2C7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65" w:type="dxa"/>
            <w:vMerge w:val="continue"/>
            <w:vAlign w:val="center"/>
          </w:tcPr>
          <w:p w14:paraId="5B63404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9" w:type="dxa"/>
            <w:vMerge w:val="continue"/>
            <w:vAlign w:val="center"/>
          </w:tcPr>
          <w:p w14:paraId="71CB429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2345FDE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197" w:hRule="atLeast"/>
          <w:jc w:val="center"/>
        </w:trPr>
        <w:tc>
          <w:tcPr>
            <w:tcW w:w="594" w:type="dxa"/>
            <w:vAlign w:val="center"/>
          </w:tcPr>
          <w:p w14:paraId="4FFBA0B3">
            <w:pPr>
              <w:keepNext w:val="0"/>
              <w:keepLines w:val="0"/>
              <w:pageBreakBefore w:val="0"/>
              <w:numPr>
                <w:ilvl w:val="0"/>
                <w:numId w:val="1"/>
              </w:numPr>
              <w:kinsoku/>
              <w:wordWrap/>
              <w:overflowPunct/>
              <w:topLinePunct w:val="0"/>
              <w:autoSpaceDE/>
              <w:autoSpaceDN/>
              <w:bidi w:val="0"/>
              <w:adjustRightInd/>
              <w:snapToGrid/>
              <w:spacing w:line="280" w:lineRule="exact"/>
              <w:ind w:left="0" w:leftChars="0" w:firstLine="0" w:firstLineChars="0"/>
              <w:jc w:val="center"/>
              <w:rPr>
                <w:rFonts w:ascii="仿宋_GB2312" w:hAnsi="仿宋_GB2312" w:eastAsia="仿宋_GB2312" w:cs="仿宋_GB2312"/>
                <w:color w:val="auto"/>
                <w:szCs w:val="21"/>
              </w:rPr>
            </w:pPr>
          </w:p>
        </w:tc>
        <w:tc>
          <w:tcPr>
            <w:tcW w:w="1313" w:type="dxa"/>
            <w:vAlign w:val="center"/>
          </w:tcPr>
          <w:p w14:paraId="4193572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规划修改方案及对规划实施影响评估</w:t>
            </w:r>
          </w:p>
        </w:tc>
        <w:tc>
          <w:tcPr>
            <w:tcW w:w="1648" w:type="dxa"/>
            <w:vAlign w:val="center"/>
          </w:tcPr>
          <w:p w14:paraId="595D997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建设项目用地预审与选址意见书核发</w:t>
            </w:r>
          </w:p>
        </w:tc>
        <w:tc>
          <w:tcPr>
            <w:tcW w:w="6525" w:type="dxa"/>
            <w:vAlign w:val="center"/>
          </w:tcPr>
          <w:p w14:paraId="218B4A3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《建设项目用地预审管理办法》第九条（三）：属于《土地管理法》第二十六条 规划情形：建设项目用地需修改土地利用总体规划的，应当出具经相关部门和专家论证的规划修改方案、规划修改对规划实施影响评估报告和修改规划听证会纪要。</w:t>
            </w:r>
          </w:p>
        </w:tc>
        <w:tc>
          <w:tcPr>
            <w:tcW w:w="1110" w:type="dxa"/>
            <w:vAlign w:val="center"/>
          </w:tcPr>
          <w:p w14:paraId="697DEF6F">
            <w:pPr>
              <w:keepNext w:val="0"/>
              <w:keepLines w:val="0"/>
              <w:pageBreakBefore w:val="0"/>
              <w:kinsoku/>
              <w:wordWrap/>
              <w:overflowPunct/>
              <w:topLinePunct w:val="0"/>
              <w:autoSpaceDE/>
              <w:autoSpaceDN/>
              <w:bidi w:val="0"/>
              <w:adjustRightInd/>
              <w:snapToGrid/>
              <w:spacing w:line="280" w:lineRule="exact"/>
              <w:ind w:left="0" w:leftChars="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梁子湖区</w:t>
            </w:r>
            <w:r>
              <w:rPr>
                <w:rFonts w:hint="eastAsia" w:ascii="仿宋_GB2312" w:hAnsi="仿宋_GB2312" w:eastAsia="仿宋_GB2312" w:cs="仿宋_GB2312"/>
                <w:color w:val="auto"/>
                <w:szCs w:val="21"/>
              </w:rPr>
              <w:t>自然资源</w:t>
            </w:r>
            <w:r>
              <w:rPr>
                <w:rFonts w:hint="eastAsia" w:ascii="仿宋_GB2312" w:hAnsi="仿宋_GB2312" w:eastAsia="仿宋_GB2312" w:cs="仿宋_GB2312"/>
                <w:color w:val="auto"/>
                <w:szCs w:val="21"/>
                <w:lang w:eastAsia="zh-CN"/>
              </w:rPr>
              <w:t>和规划分局</w:t>
            </w:r>
          </w:p>
        </w:tc>
        <w:tc>
          <w:tcPr>
            <w:tcW w:w="1367" w:type="dxa"/>
            <w:vAlign w:val="center"/>
          </w:tcPr>
          <w:p w14:paraId="69FE59D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具备相应资质的中介机构</w:t>
            </w:r>
          </w:p>
        </w:tc>
        <w:tc>
          <w:tcPr>
            <w:tcW w:w="1153" w:type="dxa"/>
            <w:vAlign w:val="center"/>
          </w:tcPr>
          <w:p w14:paraId="0B0B8651">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07FB0E7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65" w:type="dxa"/>
            <w:vAlign w:val="center"/>
          </w:tcPr>
          <w:p w14:paraId="478B4FAB">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4398147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b/>
                <w:bCs/>
                <w:color w:val="auto"/>
                <w:sz w:val="21"/>
                <w:szCs w:val="21"/>
              </w:rPr>
            </w:pPr>
            <w:r>
              <w:rPr>
                <w:rFonts w:hint="eastAsia" w:ascii="仿宋_GB2312" w:hAnsi="仿宋_GB2312" w:eastAsia="仿宋_GB2312" w:cs="仿宋_GB2312"/>
                <w:color w:val="auto"/>
                <w:sz w:val="21"/>
                <w:szCs w:val="21"/>
              </w:rPr>
              <w:t>合同约定</w:t>
            </w:r>
          </w:p>
        </w:tc>
        <w:tc>
          <w:tcPr>
            <w:tcW w:w="1159" w:type="dxa"/>
            <w:vAlign w:val="center"/>
          </w:tcPr>
          <w:p w14:paraId="4181453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192C12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170" w:hRule="atLeast"/>
          <w:jc w:val="center"/>
        </w:trPr>
        <w:tc>
          <w:tcPr>
            <w:tcW w:w="594" w:type="dxa"/>
            <w:vMerge w:val="restart"/>
            <w:vAlign w:val="center"/>
          </w:tcPr>
          <w:p w14:paraId="2A2588ED">
            <w:pPr>
              <w:keepNext w:val="0"/>
              <w:keepLines w:val="0"/>
              <w:pageBreakBefore w:val="0"/>
              <w:numPr>
                <w:ilvl w:val="0"/>
                <w:numId w:val="1"/>
              </w:numPr>
              <w:kinsoku/>
              <w:wordWrap/>
              <w:overflowPunct/>
              <w:topLinePunct w:val="0"/>
              <w:autoSpaceDE/>
              <w:autoSpaceDN/>
              <w:bidi w:val="0"/>
              <w:adjustRightInd/>
              <w:snapToGrid/>
              <w:spacing w:line="280" w:lineRule="exact"/>
              <w:ind w:left="0" w:leftChars="0" w:firstLine="0" w:firstLineChars="0"/>
              <w:jc w:val="center"/>
              <w:rPr>
                <w:rFonts w:ascii="仿宋_GB2312" w:hAnsi="仿宋_GB2312" w:eastAsia="仿宋_GB2312" w:cs="仿宋_GB2312"/>
                <w:color w:val="auto"/>
                <w:szCs w:val="21"/>
              </w:rPr>
            </w:pPr>
          </w:p>
        </w:tc>
        <w:tc>
          <w:tcPr>
            <w:tcW w:w="1313" w:type="dxa"/>
            <w:vMerge w:val="restart"/>
            <w:vAlign w:val="center"/>
          </w:tcPr>
          <w:p w14:paraId="70CE4E5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地质灾害危险性评估</w:t>
            </w:r>
          </w:p>
        </w:tc>
        <w:tc>
          <w:tcPr>
            <w:tcW w:w="1648" w:type="dxa"/>
            <w:vAlign w:val="center"/>
          </w:tcPr>
          <w:p w14:paraId="2538A5F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国有建设用地使用权审批</w:t>
            </w:r>
          </w:p>
        </w:tc>
        <w:tc>
          <w:tcPr>
            <w:tcW w:w="6525" w:type="dxa"/>
            <w:vMerge w:val="restart"/>
            <w:vAlign w:val="center"/>
          </w:tcPr>
          <w:p w14:paraId="21B3CDE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《地质灾害防治条例》第二十一条 在地质灾害易发区进行工程建设应当在可行性研究阶段进行地质灾害危险性评估。编制地质灾害易发区内的城市总体规划、村庄和集镇规划时，应当对规划区进行地质灾害危险性评估。</w:t>
            </w:r>
          </w:p>
          <w:p w14:paraId="3AFF186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《建设用地审查报批管理办法》第五条：建设项目位于地质灾害易发地区的，还应当提供地质灾害危险性评估报告。</w:t>
            </w:r>
          </w:p>
        </w:tc>
        <w:tc>
          <w:tcPr>
            <w:tcW w:w="1110" w:type="dxa"/>
            <w:vMerge w:val="restart"/>
            <w:vAlign w:val="center"/>
          </w:tcPr>
          <w:p w14:paraId="0A976673">
            <w:pPr>
              <w:keepNext w:val="0"/>
              <w:keepLines w:val="0"/>
              <w:pageBreakBefore w:val="0"/>
              <w:kinsoku/>
              <w:wordWrap/>
              <w:overflowPunct/>
              <w:topLinePunct w:val="0"/>
              <w:autoSpaceDE/>
              <w:autoSpaceDN/>
              <w:bidi w:val="0"/>
              <w:adjustRightInd/>
              <w:snapToGrid/>
              <w:spacing w:line="280" w:lineRule="exact"/>
              <w:ind w:left="0" w:leftChars="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梁子湖区</w:t>
            </w:r>
            <w:r>
              <w:rPr>
                <w:rFonts w:hint="eastAsia" w:ascii="仿宋_GB2312" w:hAnsi="仿宋_GB2312" w:eastAsia="仿宋_GB2312" w:cs="仿宋_GB2312"/>
                <w:color w:val="auto"/>
                <w:szCs w:val="21"/>
              </w:rPr>
              <w:t>自然资源</w:t>
            </w:r>
            <w:r>
              <w:rPr>
                <w:rFonts w:hint="eastAsia" w:ascii="仿宋_GB2312" w:hAnsi="仿宋_GB2312" w:eastAsia="仿宋_GB2312" w:cs="仿宋_GB2312"/>
                <w:color w:val="auto"/>
                <w:szCs w:val="21"/>
                <w:lang w:eastAsia="zh-CN"/>
              </w:rPr>
              <w:t>和规划分局</w:t>
            </w:r>
          </w:p>
        </w:tc>
        <w:tc>
          <w:tcPr>
            <w:tcW w:w="1367" w:type="dxa"/>
            <w:vMerge w:val="restart"/>
            <w:vAlign w:val="center"/>
          </w:tcPr>
          <w:p w14:paraId="6128ECF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由国土资源行政主管部门颁发的地质灾害防治工程勘察资质单位进行</w:t>
            </w:r>
          </w:p>
        </w:tc>
        <w:tc>
          <w:tcPr>
            <w:tcW w:w="1153" w:type="dxa"/>
            <w:vMerge w:val="restart"/>
            <w:vAlign w:val="center"/>
          </w:tcPr>
          <w:p w14:paraId="4A86199E">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0894FF0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65" w:type="dxa"/>
            <w:vMerge w:val="restart"/>
            <w:vAlign w:val="center"/>
          </w:tcPr>
          <w:p w14:paraId="4A80A03E">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448BFDB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59" w:type="dxa"/>
            <w:vMerge w:val="restart"/>
            <w:vAlign w:val="center"/>
          </w:tcPr>
          <w:p w14:paraId="5FD54A7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6099DD0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783" w:hRule="atLeast"/>
          <w:jc w:val="center"/>
        </w:trPr>
        <w:tc>
          <w:tcPr>
            <w:tcW w:w="594" w:type="dxa"/>
            <w:vMerge w:val="continue"/>
            <w:vAlign w:val="center"/>
          </w:tcPr>
          <w:p w14:paraId="0AD5953D">
            <w:pPr>
              <w:keepNext w:val="0"/>
              <w:keepLines w:val="0"/>
              <w:pageBreakBefore w:val="0"/>
              <w:kinsoku/>
              <w:wordWrap/>
              <w:overflowPunct/>
              <w:topLinePunct w:val="0"/>
              <w:autoSpaceDE/>
              <w:autoSpaceDN/>
              <w:bidi w:val="0"/>
              <w:adjustRightInd/>
              <w:snapToGrid/>
              <w:spacing w:line="280" w:lineRule="exact"/>
              <w:ind w:left="0" w:firstLineChars="0"/>
              <w:jc w:val="center"/>
              <w:rPr>
                <w:rFonts w:hint="eastAsia" w:ascii="仿宋_GB2312" w:hAnsi="仿宋_GB2312" w:eastAsia="仿宋_GB2312" w:cs="仿宋_GB2312"/>
                <w:color w:val="auto"/>
                <w:szCs w:val="21"/>
              </w:rPr>
            </w:pPr>
          </w:p>
        </w:tc>
        <w:tc>
          <w:tcPr>
            <w:tcW w:w="1313" w:type="dxa"/>
            <w:vMerge w:val="continue"/>
            <w:vAlign w:val="center"/>
          </w:tcPr>
          <w:p w14:paraId="6CE2124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648" w:type="dxa"/>
            <w:vAlign w:val="center"/>
          </w:tcPr>
          <w:p w14:paraId="1DBBD6A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集体建设用地（农村村民宅基地）审核</w:t>
            </w:r>
          </w:p>
        </w:tc>
        <w:tc>
          <w:tcPr>
            <w:tcW w:w="6525" w:type="dxa"/>
            <w:vMerge w:val="continue"/>
            <w:vAlign w:val="center"/>
          </w:tcPr>
          <w:p w14:paraId="150513C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10" w:type="dxa"/>
            <w:vMerge w:val="continue"/>
            <w:vAlign w:val="center"/>
          </w:tcPr>
          <w:p w14:paraId="249FBADC">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67" w:type="dxa"/>
            <w:vMerge w:val="continue"/>
            <w:vAlign w:val="center"/>
          </w:tcPr>
          <w:p w14:paraId="774BA58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3" w:type="dxa"/>
            <w:vMerge w:val="continue"/>
            <w:vAlign w:val="center"/>
          </w:tcPr>
          <w:p w14:paraId="07F69A6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65" w:type="dxa"/>
            <w:vMerge w:val="continue"/>
            <w:vAlign w:val="center"/>
          </w:tcPr>
          <w:p w14:paraId="4E5DF10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9" w:type="dxa"/>
            <w:vMerge w:val="continue"/>
            <w:vAlign w:val="center"/>
          </w:tcPr>
          <w:p w14:paraId="164DD35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43DC78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481" w:hRule="atLeast"/>
          <w:jc w:val="center"/>
        </w:trPr>
        <w:tc>
          <w:tcPr>
            <w:tcW w:w="594" w:type="dxa"/>
            <w:vMerge w:val="continue"/>
            <w:vAlign w:val="center"/>
          </w:tcPr>
          <w:p w14:paraId="2D8D95D6">
            <w:pPr>
              <w:keepNext w:val="0"/>
              <w:keepLines w:val="0"/>
              <w:pageBreakBefore w:val="0"/>
              <w:kinsoku/>
              <w:wordWrap/>
              <w:overflowPunct/>
              <w:topLinePunct w:val="0"/>
              <w:autoSpaceDE/>
              <w:autoSpaceDN/>
              <w:bidi w:val="0"/>
              <w:adjustRightInd/>
              <w:snapToGrid/>
              <w:spacing w:line="280" w:lineRule="exact"/>
              <w:ind w:left="0" w:firstLineChars="0"/>
              <w:jc w:val="center"/>
              <w:rPr>
                <w:rFonts w:hint="eastAsia" w:ascii="仿宋_GB2312" w:hAnsi="仿宋_GB2312" w:eastAsia="仿宋_GB2312" w:cs="仿宋_GB2312"/>
                <w:color w:val="auto"/>
                <w:szCs w:val="21"/>
              </w:rPr>
            </w:pPr>
          </w:p>
        </w:tc>
        <w:tc>
          <w:tcPr>
            <w:tcW w:w="1313" w:type="dxa"/>
            <w:vMerge w:val="continue"/>
            <w:vAlign w:val="center"/>
          </w:tcPr>
          <w:p w14:paraId="2BBB53F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648" w:type="dxa"/>
            <w:vAlign w:val="center"/>
          </w:tcPr>
          <w:p w14:paraId="1E88AAA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建设项目用地审查报批</w:t>
            </w:r>
          </w:p>
        </w:tc>
        <w:tc>
          <w:tcPr>
            <w:tcW w:w="6525" w:type="dxa"/>
            <w:vMerge w:val="continue"/>
            <w:vAlign w:val="center"/>
          </w:tcPr>
          <w:p w14:paraId="3605D20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10" w:type="dxa"/>
            <w:vMerge w:val="continue"/>
            <w:vAlign w:val="center"/>
          </w:tcPr>
          <w:p w14:paraId="60AF7CC2">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67" w:type="dxa"/>
            <w:vMerge w:val="continue"/>
            <w:vAlign w:val="center"/>
          </w:tcPr>
          <w:p w14:paraId="558DD88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3" w:type="dxa"/>
            <w:vMerge w:val="continue"/>
            <w:vAlign w:val="center"/>
          </w:tcPr>
          <w:p w14:paraId="5ADDB2B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65" w:type="dxa"/>
            <w:vMerge w:val="continue"/>
            <w:vAlign w:val="center"/>
          </w:tcPr>
          <w:p w14:paraId="262CC82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9" w:type="dxa"/>
            <w:vMerge w:val="continue"/>
            <w:vAlign w:val="center"/>
          </w:tcPr>
          <w:p w14:paraId="2648A91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5FBCD1B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0" w:hRule="atLeast"/>
          <w:jc w:val="center"/>
        </w:trPr>
        <w:tc>
          <w:tcPr>
            <w:tcW w:w="594" w:type="dxa"/>
            <w:vAlign w:val="center"/>
          </w:tcPr>
          <w:p w14:paraId="6E310878">
            <w:pPr>
              <w:keepNext w:val="0"/>
              <w:keepLines w:val="0"/>
              <w:pageBreakBefore w:val="0"/>
              <w:numPr>
                <w:ilvl w:val="0"/>
                <w:numId w:val="1"/>
              </w:numPr>
              <w:kinsoku/>
              <w:wordWrap/>
              <w:overflowPunct/>
              <w:topLinePunct w:val="0"/>
              <w:autoSpaceDE/>
              <w:autoSpaceDN/>
              <w:bidi w:val="0"/>
              <w:adjustRightInd/>
              <w:snapToGrid/>
              <w:spacing w:line="280" w:lineRule="exact"/>
              <w:ind w:left="0" w:leftChars="0" w:firstLine="0" w:firstLineChars="0"/>
              <w:jc w:val="center"/>
              <w:rPr>
                <w:rFonts w:ascii="仿宋_GB2312" w:hAnsi="仿宋_GB2312" w:eastAsia="仿宋_GB2312" w:cs="仿宋_GB2312"/>
                <w:color w:val="auto"/>
                <w:szCs w:val="21"/>
              </w:rPr>
            </w:pPr>
          </w:p>
        </w:tc>
        <w:tc>
          <w:tcPr>
            <w:tcW w:w="1313" w:type="dxa"/>
            <w:vAlign w:val="center"/>
          </w:tcPr>
          <w:p w14:paraId="3AD919B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重大建设项目选址论证报告编制</w:t>
            </w:r>
          </w:p>
        </w:tc>
        <w:tc>
          <w:tcPr>
            <w:tcW w:w="1648" w:type="dxa"/>
            <w:vAlign w:val="center"/>
          </w:tcPr>
          <w:p w14:paraId="4DEE517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shd w:val="clear" w:color="auto" w:fill="FFFFFF"/>
              </w:rPr>
              <w:t>建设项目用地预审与选址意见书核发</w:t>
            </w:r>
          </w:p>
        </w:tc>
        <w:tc>
          <w:tcPr>
            <w:tcW w:w="6525" w:type="dxa"/>
            <w:vAlign w:val="center"/>
          </w:tcPr>
          <w:p w14:paraId="2515D67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《城乡规划法》第三十六条 按照国家规定需要有关部门批准或者核准的建设项目，以划拨方式提供国有土地使用权的，建设单位在报送有关部门批准或者核准前，应当向城乡规划主管部门申请核发选址意见书。前款规定以外的建设项目不需要申请选址意见书。</w:t>
            </w:r>
          </w:p>
          <w:p w14:paraId="13D4F01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《关于贯彻落实&lt;国务院关于加强城乡规划监督管理的通知&gt;的通知》</w:t>
            </w:r>
          </w:p>
          <w:p w14:paraId="6A7E82F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shd w:val="clear" w:color="auto" w:fill="FFFFFF"/>
              </w:rPr>
              <w:t>《自然资源部关于以“多规合一”为基础推进规划用地 “多审合一、多证合一”改革的通知》（自然资规〔2019〕2号）</w:t>
            </w:r>
          </w:p>
        </w:tc>
        <w:tc>
          <w:tcPr>
            <w:tcW w:w="1110" w:type="dxa"/>
            <w:vAlign w:val="center"/>
          </w:tcPr>
          <w:p w14:paraId="2BDF771D">
            <w:pPr>
              <w:keepNext w:val="0"/>
              <w:keepLines w:val="0"/>
              <w:pageBreakBefore w:val="0"/>
              <w:kinsoku/>
              <w:wordWrap/>
              <w:overflowPunct/>
              <w:topLinePunct w:val="0"/>
              <w:autoSpaceDE/>
              <w:autoSpaceDN/>
              <w:bidi w:val="0"/>
              <w:adjustRightInd/>
              <w:snapToGrid/>
              <w:spacing w:line="280" w:lineRule="exact"/>
              <w:ind w:left="0" w:leftChars="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梁子湖区</w:t>
            </w:r>
            <w:r>
              <w:rPr>
                <w:rFonts w:hint="eastAsia" w:ascii="仿宋_GB2312" w:hAnsi="仿宋_GB2312" w:eastAsia="仿宋_GB2312" w:cs="仿宋_GB2312"/>
                <w:color w:val="auto"/>
                <w:szCs w:val="21"/>
              </w:rPr>
              <w:t>自然资源</w:t>
            </w:r>
            <w:r>
              <w:rPr>
                <w:rFonts w:hint="eastAsia" w:ascii="仿宋_GB2312" w:hAnsi="仿宋_GB2312" w:eastAsia="仿宋_GB2312" w:cs="仿宋_GB2312"/>
                <w:color w:val="auto"/>
                <w:szCs w:val="21"/>
                <w:lang w:eastAsia="zh-CN"/>
              </w:rPr>
              <w:t>和规划分局</w:t>
            </w:r>
          </w:p>
        </w:tc>
        <w:tc>
          <w:tcPr>
            <w:tcW w:w="1367" w:type="dxa"/>
            <w:vAlign w:val="center"/>
          </w:tcPr>
          <w:p w14:paraId="1259B10D">
            <w:pPr>
              <w:keepNext w:val="0"/>
              <w:keepLines w:val="0"/>
              <w:pageBreakBefore w:val="0"/>
              <w:kinsoku/>
              <w:wordWrap/>
              <w:overflowPunct/>
              <w:topLinePunct w:val="0"/>
              <w:autoSpaceDE/>
              <w:autoSpaceDN/>
              <w:bidi w:val="0"/>
              <w:adjustRightInd/>
              <w:snapToGrid/>
              <w:spacing w:line="280" w:lineRule="exact"/>
              <w:ind w:left="0"/>
              <w:jc w:val="both"/>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具有资质的第三方机构</w:t>
            </w:r>
          </w:p>
        </w:tc>
        <w:tc>
          <w:tcPr>
            <w:tcW w:w="1153" w:type="dxa"/>
            <w:vAlign w:val="center"/>
          </w:tcPr>
          <w:p w14:paraId="215FC979">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45E06FC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65" w:type="dxa"/>
            <w:vAlign w:val="center"/>
          </w:tcPr>
          <w:p w14:paraId="327C8620">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74A7A1F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b/>
                <w:bCs/>
                <w:color w:val="auto"/>
                <w:sz w:val="21"/>
                <w:szCs w:val="21"/>
              </w:rPr>
            </w:pPr>
            <w:r>
              <w:rPr>
                <w:rFonts w:hint="eastAsia" w:ascii="仿宋_GB2312" w:hAnsi="仿宋_GB2312" w:eastAsia="仿宋_GB2312" w:cs="仿宋_GB2312"/>
                <w:color w:val="auto"/>
                <w:sz w:val="21"/>
                <w:szCs w:val="21"/>
              </w:rPr>
              <w:t>合同约定</w:t>
            </w:r>
          </w:p>
        </w:tc>
        <w:tc>
          <w:tcPr>
            <w:tcW w:w="1159" w:type="dxa"/>
            <w:vAlign w:val="center"/>
          </w:tcPr>
          <w:p w14:paraId="0E62A20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07570AF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0" w:hRule="atLeast"/>
          <w:jc w:val="center"/>
        </w:trPr>
        <w:tc>
          <w:tcPr>
            <w:tcW w:w="594" w:type="dxa"/>
            <w:vAlign w:val="center"/>
          </w:tcPr>
          <w:p w14:paraId="07C8AF56">
            <w:pPr>
              <w:keepNext w:val="0"/>
              <w:keepLines w:val="0"/>
              <w:pageBreakBefore w:val="0"/>
              <w:numPr>
                <w:ilvl w:val="0"/>
                <w:numId w:val="1"/>
              </w:numPr>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Cs w:val="21"/>
              </w:rPr>
            </w:pPr>
          </w:p>
        </w:tc>
        <w:tc>
          <w:tcPr>
            <w:tcW w:w="1313" w:type="dxa"/>
            <w:vAlign w:val="center"/>
          </w:tcPr>
          <w:p w14:paraId="580834C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地形图测绘</w:t>
            </w:r>
          </w:p>
        </w:tc>
        <w:tc>
          <w:tcPr>
            <w:tcW w:w="1648" w:type="dxa"/>
            <w:vAlign w:val="center"/>
          </w:tcPr>
          <w:p w14:paraId="3ACC971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shd w:val="clear" w:color="auto" w:fill="FFFFFF"/>
              </w:rPr>
              <w:t>建设项目用地预审与选址意见书核发</w:t>
            </w:r>
          </w:p>
        </w:tc>
        <w:tc>
          <w:tcPr>
            <w:tcW w:w="6525" w:type="dxa"/>
            <w:vAlign w:val="center"/>
          </w:tcPr>
          <w:p w14:paraId="172BF39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《城乡规划法》第三十六条 按照国家规定需要有关部门批准或者核准的建设项目，以划拨方式提供国有土地使用权的，建设单位在报送有关部门批准或者核准前，应当向城乡规划主管部门申请核发选址意见书。前款规定以外的建设项目不需要申请选址意见书。</w:t>
            </w:r>
          </w:p>
          <w:p w14:paraId="32EF82B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《湖北省城乡规划条例》第三十五条 建设项目依法需要办理选址意见书的，按照项目批准、核准权限实行分级管理。市（县）人民政府有关部门批准、核准的建设项目，由同级人民政府城乡规划主管部门核发。省级以上人民政府有关部门批准、核准的建设项目，由项目所在地的县级以上人民政府城乡规划主管部门提出初审意见，报省人民政府城乡规划主管部门核发。跨行政区域的建设项目由项目所在地的县级以上人民政府城乡规划主管部门提出初审意见，报共同上一级城乡规划主管部门核发。选址意见书按照下列程序办理：</w:t>
            </w:r>
          </w:p>
          <w:p w14:paraId="4BDE08E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（一）建设单位持申请文件、地形图、重大项目选址环境影响评价等材料，向项目所在地城乡规划主管部门提交申请；</w:t>
            </w:r>
          </w:p>
          <w:p w14:paraId="1568A94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（二）需要征求有关部门意见的，受理申请的机关应当及时征求意见，有关部门应当自收到征求意见书之日起5日内反馈；</w:t>
            </w:r>
          </w:p>
          <w:p w14:paraId="35EC54E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highlight w:val="yellow"/>
              </w:rPr>
            </w:pPr>
            <w:r>
              <w:rPr>
                <w:rFonts w:hint="eastAsia" w:ascii="仿宋_GB2312" w:hAnsi="仿宋_GB2312" w:eastAsia="仿宋_GB2312" w:cs="仿宋_GB2312"/>
                <w:color w:val="auto"/>
                <w:szCs w:val="21"/>
              </w:rPr>
              <w:t>（三）受理申请的机关应当自受理申请之日起20日内作出决定。符合条件的，核发选址意见书。未按照规定核发选址意见书的建设项目，有关部门不得批准、核准立项。</w:t>
            </w:r>
          </w:p>
        </w:tc>
        <w:tc>
          <w:tcPr>
            <w:tcW w:w="1110" w:type="dxa"/>
            <w:vAlign w:val="center"/>
          </w:tcPr>
          <w:p w14:paraId="22ED4265">
            <w:pPr>
              <w:keepNext w:val="0"/>
              <w:keepLines w:val="0"/>
              <w:pageBreakBefore w:val="0"/>
              <w:kinsoku/>
              <w:wordWrap/>
              <w:overflowPunct/>
              <w:topLinePunct w:val="0"/>
              <w:autoSpaceDE/>
              <w:autoSpaceDN/>
              <w:bidi w:val="0"/>
              <w:adjustRightInd/>
              <w:snapToGrid/>
              <w:spacing w:line="280" w:lineRule="exact"/>
              <w:ind w:left="0" w:leftChars="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梁子湖区</w:t>
            </w:r>
            <w:r>
              <w:rPr>
                <w:rFonts w:hint="eastAsia" w:ascii="仿宋_GB2312" w:hAnsi="仿宋_GB2312" w:eastAsia="仿宋_GB2312" w:cs="仿宋_GB2312"/>
                <w:color w:val="auto"/>
                <w:szCs w:val="21"/>
              </w:rPr>
              <w:t>自然资源</w:t>
            </w:r>
            <w:r>
              <w:rPr>
                <w:rFonts w:hint="eastAsia" w:ascii="仿宋_GB2312" w:hAnsi="仿宋_GB2312" w:eastAsia="仿宋_GB2312" w:cs="仿宋_GB2312"/>
                <w:color w:val="auto"/>
                <w:szCs w:val="21"/>
                <w:lang w:eastAsia="zh-CN"/>
              </w:rPr>
              <w:t>和规划分局</w:t>
            </w:r>
          </w:p>
        </w:tc>
        <w:tc>
          <w:tcPr>
            <w:tcW w:w="1367" w:type="dxa"/>
            <w:vAlign w:val="center"/>
          </w:tcPr>
          <w:p w14:paraId="4E21499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具有资质的第三方机构</w:t>
            </w:r>
          </w:p>
        </w:tc>
        <w:tc>
          <w:tcPr>
            <w:tcW w:w="1153" w:type="dxa"/>
            <w:vAlign w:val="center"/>
          </w:tcPr>
          <w:p w14:paraId="351C8A84">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7E9E3AC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65" w:type="dxa"/>
            <w:vAlign w:val="center"/>
          </w:tcPr>
          <w:p w14:paraId="522C9211">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0020877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59" w:type="dxa"/>
            <w:vAlign w:val="center"/>
          </w:tcPr>
          <w:p w14:paraId="6D54289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5A84582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0" w:hRule="atLeast"/>
          <w:jc w:val="center"/>
        </w:trPr>
        <w:tc>
          <w:tcPr>
            <w:tcW w:w="594" w:type="dxa"/>
            <w:vAlign w:val="center"/>
          </w:tcPr>
          <w:p w14:paraId="0FFC1DF7">
            <w:pPr>
              <w:keepNext w:val="0"/>
              <w:keepLines w:val="0"/>
              <w:pageBreakBefore w:val="0"/>
              <w:numPr>
                <w:ilvl w:val="0"/>
                <w:numId w:val="1"/>
              </w:numPr>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Cs w:val="21"/>
              </w:rPr>
            </w:pPr>
          </w:p>
        </w:tc>
        <w:tc>
          <w:tcPr>
            <w:tcW w:w="1313" w:type="dxa"/>
            <w:vAlign w:val="center"/>
          </w:tcPr>
          <w:p w14:paraId="348C2AB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建设项目设计方案</w:t>
            </w:r>
          </w:p>
        </w:tc>
        <w:tc>
          <w:tcPr>
            <w:tcW w:w="1648" w:type="dxa"/>
            <w:vAlign w:val="center"/>
          </w:tcPr>
          <w:p w14:paraId="0D37958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建设工程（含临时建设）规划许可核发</w:t>
            </w:r>
          </w:p>
        </w:tc>
        <w:tc>
          <w:tcPr>
            <w:tcW w:w="6525" w:type="dxa"/>
            <w:vAlign w:val="center"/>
          </w:tcPr>
          <w:p w14:paraId="433D553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城乡规划法》第四十条：在城市、镇规划区内进行建筑物、构筑物、道路、管线和其他工程建设的，建设单位或者个人应当向城市、县人民政府城乡规划主管部门或者省、自治区、直辖市人民政府确定的镇人民政府申请办理建设工程规划许可证。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14:paraId="3681A9E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highlight w:val="yellow"/>
              </w:rPr>
            </w:pPr>
            <w:r>
              <w:rPr>
                <w:rFonts w:hint="eastAsia" w:ascii="仿宋_GB2312" w:hAnsi="仿宋_GB2312" w:eastAsia="仿宋_GB2312" w:cs="仿宋_GB2312"/>
                <w:color w:val="auto"/>
                <w:szCs w:val="21"/>
              </w:rPr>
              <w:t>《湖北省城乡规划条例》第三十七条：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w:t>
            </w:r>
          </w:p>
        </w:tc>
        <w:tc>
          <w:tcPr>
            <w:tcW w:w="1110" w:type="dxa"/>
            <w:vAlign w:val="center"/>
          </w:tcPr>
          <w:p w14:paraId="74E9B3C6">
            <w:pPr>
              <w:keepNext w:val="0"/>
              <w:keepLines w:val="0"/>
              <w:pageBreakBefore w:val="0"/>
              <w:kinsoku/>
              <w:wordWrap/>
              <w:overflowPunct/>
              <w:topLinePunct w:val="0"/>
              <w:autoSpaceDE/>
              <w:autoSpaceDN/>
              <w:bidi w:val="0"/>
              <w:adjustRightInd/>
              <w:snapToGrid/>
              <w:spacing w:line="280" w:lineRule="exact"/>
              <w:ind w:left="0" w:leftChars="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梁子湖区</w:t>
            </w:r>
            <w:r>
              <w:rPr>
                <w:rFonts w:hint="eastAsia" w:ascii="仿宋_GB2312" w:hAnsi="仿宋_GB2312" w:eastAsia="仿宋_GB2312" w:cs="仿宋_GB2312"/>
                <w:color w:val="auto"/>
                <w:szCs w:val="21"/>
              </w:rPr>
              <w:t>自然资源</w:t>
            </w:r>
            <w:r>
              <w:rPr>
                <w:rFonts w:hint="eastAsia" w:ascii="仿宋_GB2312" w:hAnsi="仿宋_GB2312" w:eastAsia="仿宋_GB2312" w:cs="仿宋_GB2312"/>
                <w:color w:val="auto"/>
                <w:szCs w:val="21"/>
                <w:lang w:eastAsia="zh-CN"/>
              </w:rPr>
              <w:t>和规划分局</w:t>
            </w:r>
          </w:p>
        </w:tc>
        <w:tc>
          <w:tcPr>
            <w:tcW w:w="1367" w:type="dxa"/>
            <w:vAlign w:val="center"/>
          </w:tcPr>
          <w:p w14:paraId="69CB9C6A">
            <w:pPr>
              <w:keepNext w:val="0"/>
              <w:keepLines w:val="0"/>
              <w:pageBreakBefore w:val="0"/>
              <w:kinsoku/>
              <w:wordWrap/>
              <w:overflowPunct/>
              <w:topLinePunct w:val="0"/>
              <w:autoSpaceDE/>
              <w:autoSpaceDN/>
              <w:bidi w:val="0"/>
              <w:adjustRightInd/>
              <w:snapToGrid/>
              <w:spacing w:line="280" w:lineRule="exact"/>
              <w:ind w:left="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经规划主管部门认定，具备相应规划编制资质的机构</w:t>
            </w:r>
          </w:p>
        </w:tc>
        <w:tc>
          <w:tcPr>
            <w:tcW w:w="1153" w:type="dxa"/>
            <w:vAlign w:val="center"/>
          </w:tcPr>
          <w:p w14:paraId="68CC98D0">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5480A14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65" w:type="dxa"/>
            <w:vAlign w:val="center"/>
          </w:tcPr>
          <w:p w14:paraId="11819D0E">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1A040F4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59" w:type="dxa"/>
            <w:vAlign w:val="center"/>
          </w:tcPr>
          <w:p w14:paraId="0119BBC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30B847B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81" w:hRule="atLeast"/>
          <w:jc w:val="center"/>
        </w:trPr>
        <w:tc>
          <w:tcPr>
            <w:tcW w:w="594" w:type="dxa"/>
            <w:vAlign w:val="center"/>
          </w:tcPr>
          <w:p w14:paraId="4B4E7486">
            <w:pPr>
              <w:keepNext w:val="0"/>
              <w:keepLines w:val="0"/>
              <w:pageBreakBefore w:val="0"/>
              <w:numPr>
                <w:ilvl w:val="0"/>
                <w:numId w:val="1"/>
              </w:numPr>
              <w:kinsoku/>
              <w:wordWrap/>
              <w:overflowPunct/>
              <w:topLinePunct w:val="0"/>
              <w:autoSpaceDE/>
              <w:autoSpaceDN/>
              <w:bidi w:val="0"/>
              <w:adjustRightInd/>
              <w:snapToGrid/>
              <w:spacing w:line="280" w:lineRule="exact"/>
              <w:ind w:left="0" w:leftChars="0" w:firstLine="0" w:firstLineChars="0"/>
              <w:jc w:val="center"/>
              <w:rPr>
                <w:rFonts w:ascii="仿宋_GB2312" w:hAnsi="仿宋_GB2312" w:eastAsia="仿宋_GB2312" w:cs="仿宋_GB2312"/>
                <w:color w:val="auto"/>
                <w:szCs w:val="21"/>
              </w:rPr>
            </w:pPr>
          </w:p>
        </w:tc>
        <w:tc>
          <w:tcPr>
            <w:tcW w:w="1313" w:type="dxa"/>
            <w:vAlign w:val="center"/>
          </w:tcPr>
          <w:p w14:paraId="0DE9F03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规划放线、验线</w:t>
            </w:r>
          </w:p>
        </w:tc>
        <w:tc>
          <w:tcPr>
            <w:tcW w:w="1648" w:type="dxa"/>
            <w:vAlign w:val="center"/>
          </w:tcPr>
          <w:p w14:paraId="0D672A1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建设工程（含临时建设）规划许可核发</w:t>
            </w:r>
          </w:p>
        </w:tc>
        <w:tc>
          <w:tcPr>
            <w:tcW w:w="6525" w:type="dxa"/>
            <w:vAlign w:val="center"/>
          </w:tcPr>
          <w:p w14:paraId="434FD3D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《湖北省城乡规划条例》第三十七条 在城市、镇规划区内进行工程建设的，应当按照下列程序办理建设工程规划许可证：</w:t>
            </w:r>
          </w:p>
          <w:p w14:paraId="2428A18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（一）申请人持项目批准、核准、备案文件和土地使用的有关证明文件、建设用地规划许可证、符合规划条件的工程项目设计方案等相关材料，向城乡规划主管部门提交申请；</w:t>
            </w:r>
          </w:p>
          <w:p w14:paraId="4EA1BFD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（二）需要征求有关部门意见的，受理申请的机关应当及时征求意见，有关部门应当自收到征求意见书之日起5日内反馈；</w:t>
            </w:r>
          </w:p>
          <w:p w14:paraId="1F9EE17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（三）受理申请的机关自受理申请之日起20日内作出决定。符合条件的，核发建设工程规划许可证。</w:t>
            </w:r>
          </w:p>
          <w:p w14:paraId="7EA49FE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建设工程开工之前，由城乡规划主管部门组织定位、放线；其基础工程或者隐蔽工程完成后，由城乡规划主管部门组织验线，合格后方可继续施工。</w:t>
            </w:r>
          </w:p>
        </w:tc>
        <w:tc>
          <w:tcPr>
            <w:tcW w:w="1110" w:type="dxa"/>
            <w:vAlign w:val="center"/>
          </w:tcPr>
          <w:p w14:paraId="08EC2329">
            <w:pPr>
              <w:keepNext w:val="0"/>
              <w:keepLines w:val="0"/>
              <w:pageBreakBefore w:val="0"/>
              <w:kinsoku/>
              <w:wordWrap/>
              <w:overflowPunct/>
              <w:topLinePunct w:val="0"/>
              <w:autoSpaceDE/>
              <w:autoSpaceDN/>
              <w:bidi w:val="0"/>
              <w:adjustRightInd/>
              <w:snapToGrid/>
              <w:spacing w:line="280" w:lineRule="exact"/>
              <w:ind w:left="0" w:leftChars="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梁子湖区</w:t>
            </w:r>
            <w:r>
              <w:rPr>
                <w:rFonts w:hint="eastAsia" w:ascii="仿宋_GB2312" w:hAnsi="仿宋_GB2312" w:eastAsia="仿宋_GB2312" w:cs="仿宋_GB2312"/>
                <w:color w:val="auto"/>
                <w:szCs w:val="21"/>
              </w:rPr>
              <w:t>自然资源</w:t>
            </w:r>
            <w:r>
              <w:rPr>
                <w:rFonts w:hint="eastAsia" w:ascii="仿宋_GB2312" w:hAnsi="仿宋_GB2312" w:eastAsia="仿宋_GB2312" w:cs="仿宋_GB2312"/>
                <w:color w:val="auto"/>
                <w:szCs w:val="21"/>
                <w:lang w:eastAsia="zh-CN"/>
              </w:rPr>
              <w:t>和规划分局</w:t>
            </w:r>
          </w:p>
        </w:tc>
        <w:tc>
          <w:tcPr>
            <w:tcW w:w="1367" w:type="dxa"/>
            <w:vAlign w:val="center"/>
          </w:tcPr>
          <w:p w14:paraId="65B0E7D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经测绘主管部门认定，具备相应测绘资质的机构</w:t>
            </w:r>
          </w:p>
        </w:tc>
        <w:tc>
          <w:tcPr>
            <w:tcW w:w="1153" w:type="dxa"/>
            <w:vAlign w:val="center"/>
          </w:tcPr>
          <w:p w14:paraId="28BD31E1">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473BF38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65" w:type="dxa"/>
            <w:vAlign w:val="center"/>
          </w:tcPr>
          <w:p w14:paraId="5AC41AE1">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13C520E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59" w:type="dxa"/>
            <w:vAlign w:val="center"/>
          </w:tcPr>
          <w:p w14:paraId="5E90D81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63767C4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697" w:hRule="atLeast"/>
          <w:jc w:val="center"/>
        </w:trPr>
        <w:tc>
          <w:tcPr>
            <w:tcW w:w="594" w:type="dxa"/>
            <w:vAlign w:val="center"/>
          </w:tcPr>
          <w:p w14:paraId="6E0476BF">
            <w:pPr>
              <w:keepNext w:val="0"/>
              <w:keepLines w:val="0"/>
              <w:pageBreakBefore w:val="0"/>
              <w:numPr>
                <w:ilvl w:val="0"/>
                <w:numId w:val="1"/>
              </w:numPr>
              <w:kinsoku/>
              <w:wordWrap/>
              <w:overflowPunct/>
              <w:topLinePunct w:val="0"/>
              <w:autoSpaceDE/>
              <w:autoSpaceDN/>
              <w:bidi w:val="0"/>
              <w:adjustRightInd/>
              <w:snapToGrid/>
              <w:spacing w:line="280" w:lineRule="exact"/>
              <w:ind w:left="0" w:leftChars="0" w:firstLine="0" w:firstLineChars="0"/>
              <w:jc w:val="center"/>
              <w:rPr>
                <w:rFonts w:ascii="仿宋_GB2312" w:hAnsi="仿宋_GB2312" w:eastAsia="仿宋_GB2312" w:cs="仿宋_GB2312"/>
                <w:color w:val="auto"/>
                <w:szCs w:val="21"/>
              </w:rPr>
            </w:pPr>
          </w:p>
        </w:tc>
        <w:tc>
          <w:tcPr>
            <w:tcW w:w="1313" w:type="dxa"/>
            <w:vAlign w:val="center"/>
          </w:tcPr>
          <w:p w14:paraId="624FCAD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使用林地可行性报告或使用林地现状调查表编制</w:t>
            </w:r>
          </w:p>
        </w:tc>
        <w:tc>
          <w:tcPr>
            <w:tcW w:w="1648" w:type="dxa"/>
            <w:vAlign w:val="center"/>
          </w:tcPr>
          <w:p w14:paraId="46B9FB5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临时占用林地审批、建设项目使用林地及在林地管理的自然保护区建立机构和建筑设施审批的初审</w:t>
            </w:r>
          </w:p>
        </w:tc>
        <w:tc>
          <w:tcPr>
            <w:tcW w:w="6525" w:type="dxa"/>
            <w:vAlign w:val="center"/>
          </w:tcPr>
          <w:p w14:paraId="14658EF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《建设项目使用林地审核审批管理办法》（国家林业局第35号令）第七条 占用林地和临时占用林地的用地单位或者个人提出使用林地申请，应当填写《使用林地申请表》，同时提供下列材料：（四）具有相应资质的单位作出的建设项目使用林地可行性报告或者林地现状调查表。</w:t>
            </w:r>
          </w:p>
        </w:tc>
        <w:tc>
          <w:tcPr>
            <w:tcW w:w="1110" w:type="dxa"/>
            <w:vAlign w:val="center"/>
          </w:tcPr>
          <w:p w14:paraId="2D48AC1B">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eastAsia="zh-CN"/>
              </w:rPr>
              <w:t>梁子湖区</w:t>
            </w:r>
          </w:p>
          <w:p w14:paraId="2E7C2476">
            <w:pPr>
              <w:keepNext w:val="0"/>
              <w:keepLines w:val="0"/>
              <w:pageBreakBefore w:val="0"/>
              <w:kinsoku/>
              <w:wordWrap/>
              <w:overflowPunct/>
              <w:topLinePunct w:val="0"/>
              <w:autoSpaceDE/>
              <w:autoSpaceDN/>
              <w:bidi w:val="0"/>
              <w:adjustRightInd/>
              <w:snapToGrid/>
              <w:spacing w:line="280" w:lineRule="exact"/>
              <w:ind w:left="0" w:leftChars="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自然资源</w:t>
            </w:r>
            <w:r>
              <w:rPr>
                <w:rFonts w:hint="eastAsia" w:ascii="仿宋_GB2312" w:hAnsi="仿宋_GB2312" w:eastAsia="仿宋_GB2312" w:cs="仿宋_GB2312"/>
                <w:color w:val="auto"/>
                <w:szCs w:val="21"/>
                <w:lang w:eastAsia="zh-CN"/>
              </w:rPr>
              <w:t>和规划分局</w:t>
            </w:r>
          </w:p>
        </w:tc>
        <w:tc>
          <w:tcPr>
            <w:tcW w:w="1367" w:type="dxa"/>
            <w:vAlign w:val="center"/>
          </w:tcPr>
          <w:p w14:paraId="42BD72A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申请人可按要求自行编制也可委托有关机构编制</w:t>
            </w:r>
          </w:p>
        </w:tc>
        <w:tc>
          <w:tcPr>
            <w:tcW w:w="1153" w:type="dxa"/>
            <w:vAlign w:val="center"/>
          </w:tcPr>
          <w:p w14:paraId="2CCD7979">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3FD6946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65" w:type="dxa"/>
            <w:vAlign w:val="center"/>
          </w:tcPr>
          <w:p w14:paraId="06DB3E39">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114B481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59" w:type="dxa"/>
            <w:vAlign w:val="center"/>
          </w:tcPr>
          <w:p w14:paraId="30A908D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046EE09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0" w:hRule="atLeast"/>
          <w:jc w:val="center"/>
        </w:trPr>
        <w:tc>
          <w:tcPr>
            <w:tcW w:w="594" w:type="dxa"/>
            <w:vAlign w:val="center"/>
          </w:tcPr>
          <w:p w14:paraId="4A7859D5">
            <w:pPr>
              <w:keepNext w:val="0"/>
              <w:keepLines w:val="0"/>
              <w:pageBreakBefore w:val="0"/>
              <w:numPr>
                <w:ilvl w:val="0"/>
                <w:numId w:val="1"/>
              </w:numPr>
              <w:kinsoku/>
              <w:wordWrap/>
              <w:overflowPunct/>
              <w:topLinePunct w:val="0"/>
              <w:autoSpaceDE/>
              <w:autoSpaceDN/>
              <w:bidi w:val="0"/>
              <w:adjustRightInd/>
              <w:snapToGrid/>
              <w:spacing w:line="280" w:lineRule="exact"/>
              <w:ind w:left="0" w:leftChars="0" w:firstLine="0" w:firstLineChars="0"/>
              <w:jc w:val="center"/>
              <w:rPr>
                <w:rFonts w:ascii="仿宋_GB2312" w:hAnsi="仿宋_GB2312" w:eastAsia="仿宋_GB2312" w:cs="仿宋_GB2312"/>
                <w:color w:val="auto"/>
                <w:szCs w:val="21"/>
              </w:rPr>
            </w:pPr>
          </w:p>
        </w:tc>
        <w:tc>
          <w:tcPr>
            <w:tcW w:w="1313" w:type="dxa"/>
            <w:vAlign w:val="center"/>
          </w:tcPr>
          <w:p w14:paraId="3684C4F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林木采伐伐区调查设计报告编制</w:t>
            </w:r>
          </w:p>
        </w:tc>
        <w:tc>
          <w:tcPr>
            <w:tcW w:w="1648" w:type="dxa"/>
            <w:vAlign w:val="center"/>
          </w:tcPr>
          <w:p w14:paraId="0C4C44F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林木采伐、木材运输许可</w:t>
            </w:r>
          </w:p>
        </w:tc>
        <w:tc>
          <w:tcPr>
            <w:tcW w:w="6525" w:type="dxa"/>
            <w:vAlign w:val="center"/>
          </w:tcPr>
          <w:p w14:paraId="69828BD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《湖北省森林采伐管理办法》第二十二条 国有林场和面积二千亩以上的集体林场，必须实行伐区设计、审批和验收制度。具体办法由省林业主管部门制定。</w:t>
            </w:r>
          </w:p>
          <w:p w14:paraId="5A7F1A1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《湖北省采伐管理操作规则》第十一条 国有森林经营单位和集体林场、用材林基地采伐林木，以及个人所有林木采伐面积1公顷以上或采伐蓄积15立方米以上，必须依照《湖北省森林采伐技术规程》的规定进行伐区调查设计，编制《伐区调查设计说明书》。个人所有林木采伐面积不足1公顷或者采伐蓄积不足15立方米的，应依照《湖北省森林采伐技术规程》的规定，进行伐区简易调查设计，编制《伐区简易调查设计表》。</w:t>
            </w:r>
          </w:p>
          <w:p w14:paraId="2883FF5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《湖北省森林采伐技术规程》（鄂林资[2007]64号）第三十七条第一款 承担森林采伐调查规划设计任务的机构，必须持有林业调查规划设计证书，对无证单位完成的调查规划设计成果，上级林业主管部门不予审批。</w:t>
            </w:r>
          </w:p>
        </w:tc>
        <w:tc>
          <w:tcPr>
            <w:tcW w:w="1110" w:type="dxa"/>
            <w:vAlign w:val="center"/>
          </w:tcPr>
          <w:p w14:paraId="4C970ECB">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eastAsia="zh-CN"/>
              </w:rPr>
              <w:t>梁子湖区</w:t>
            </w:r>
          </w:p>
          <w:p w14:paraId="56804269">
            <w:pPr>
              <w:keepNext w:val="0"/>
              <w:keepLines w:val="0"/>
              <w:pageBreakBefore w:val="0"/>
              <w:kinsoku/>
              <w:wordWrap/>
              <w:overflowPunct/>
              <w:topLinePunct w:val="0"/>
              <w:autoSpaceDE/>
              <w:autoSpaceDN/>
              <w:bidi w:val="0"/>
              <w:adjustRightInd/>
              <w:snapToGrid/>
              <w:spacing w:line="280" w:lineRule="exact"/>
              <w:ind w:left="0" w:leftChars="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自然资源</w:t>
            </w:r>
            <w:r>
              <w:rPr>
                <w:rFonts w:hint="eastAsia" w:ascii="仿宋_GB2312" w:hAnsi="仿宋_GB2312" w:eastAsia="仿宋_GB2312" w:cs="仿宋_GB2312"/>
                <w:color w:val="auto"/>
                <w:szCs w:val="21"/>
                <w:lang w:eastAsia="zh-CN"/>
              </w:rPr>
              <w:t>和规划分局</w:t>
            </w:r>
          </w:p>
        </w:tc>
        <w:tc>
          <w:tcPr>
            <w:tcW w:w="1367" w:type="dxa"/>
            <w:vAlign w:val="center"/>
          </w:tcPr>
          <w:p w14:paraId="7D762DB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具有相应资质的第三方可行性报告编制机构</w:t>
            </w:r>
          </w:p>
        </w:tc>
        <w:tc>
          <w:tcPr>
            <w:tcW w:w="1153" w:type="dxa"/>
            <w:vAlign w:val="center"/>
          </w:tcPr>
          <w:p w14:paraId="3718A1BA">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6C0C559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65" w:type="dxa"/>
            <w:vAlign w:val="center"/>
          </w:tcPr>
          <w:p w14:paraId="25EEC3F8">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5D2E53B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59" w:type="dxa"/>
            <w:vAlign w:val="center"/>
          </w:tcPr>
          <w:p w14:paraId="004BF6B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5BE557E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2718" w:hRule="atLeast"/>
          <w:jc w:val="center"/>
        </w:trPr>
        <w:tc>
          <w:tcPr>
            <w:tcW w:w="594" w:type="dxa"/>
            <w:vAlign w:val="center"/>
          </w:tcPr>
          <w:p w14:paraId="13844B1F">
            <w:pPr>
              <w:keepNext w:val="0"/>
              <w:keepLines w:val="0"/>
              <w:pageBreakBefore w:val="0"/>
              <w:numPr>
                <w:ilvl w:val="0"/>
                <w:numId w:val="1"/>
              </w:numPr>
              <w:kinsoku/>
              <w:wordWrap/>
              <w:overflowPunct/>
              <w:topLinePunct w:val="0"/>
              <w:autoSpaceDE/>
              <w:autoSpaceDN/>
              <w:bidi w:val="0"/>
              <w:adjustRightInd/>
              <w:snapToGrid/>
              <w:spacing w:line="280" w:lineRule="exact"/>
              <w:ind w:left="0" w:leftChars="0" w:firstLine="0" w:firstLineChars="0"/>
              <w:jc w:val="center"/>
              <w:rPr>
                <w:rFonts w:ascii="仿宋_GB2312" w:hAnsi="仿宋_GB2312" w:eastAsia="仿宋_GB2312" w:cs="仿宋_GB2312"/>
                <w:color w:val="auto"/>
                <w:szCs w:val="21"/>
              </w:rPr>
            </w:pPr>
          </w:p>
        </w:tc>
        <w:tc>
          <w:tcPr>
            <w:tcW w:w="1313" w:type="dxa"/>
            <w:vAlign w:val="center"/>
          </w:tcPr>
          <w:p w14:paraId="26A43D8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建设项目竣工测量</w:t>
            </w:r>
          </w:p>
        </w:tc>
        <w:tc>
          <w:tcPr>
            <w:tcW w:w="1648" w:type="dxa"/>
            <w:vAlign w:val="center"/>
          </w:tcPr>
          <w:p w14:paraId="6373E8D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建设项目竣工验收规划条件核实</w:t>
            </w:r>
          </w:p>
        </w:tc>
        <w:tc>
          <w:tcPr>
            <w:tcW w:w="6525" w:type="dxa"/>
            <w:vAlign w:val="center"/>
          </w:tcPr>
          <w:p w14:paraId="2935BC2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《城乡规划法》 第四十五条 县级以上地方人民政府城乡规划主管部门按照国务院规定对建设工程是否符合规划条件予以核实。未经核实或者经核实不符合规划条件的，建设单位不得组织竣工验收。建设单位应当在竣工验收后六个月内向城乡规划主管部门报送有关竣工验收资料。</w:t>
            </w:r>
          </w:p>
          <w:p w14:paraId="1699897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《湖北省城乡规划条例》 第四十二条 城乡规划主管部门在建设工程竣工验收前，应当对建设工程是否符合规划条件予以核实。对符合规划条件的，核发规划条件核实证明；未经核实或者经核实不符合规划条件的，建设单位不得组织竣工验收，不得交付使用，房产主管部门不得办理房屋产权证件。建设单位应当在竣工验收后6个月内向城乡规划主管部门报送有关竣工验收资料。</w:t>
            </w:r>
          </w:p>
        </w:tc>
        <w:tc>
          <w:tcPr>
            <w:tcW w:w="1110" w:type="dxa"/>
            <w:vAlign w:val="center"/>
          </w:tcPr>
          <w:p w14:paraId="7E0801F3">
            <w:pPr>
              <w:keepNext w:val="0"/>
              <w:keepLines w:val="0"/>
              <w:pageBreakBefore w:val="0"/>
              <w:kinsoku/>
              <w:wordWrap/>
              <w:overflowPunct/>
              <w:topLinePunct w:val="0"/>
              <w:autoSpaceDE/>
              <w:autoSpaceDN/>
              <w:bidi w:val="0"/>
              <w:adjustRightInd/>
              <w:snapToGrid/>
              <w:spacing w:line="280" w:lineRule="exact"/>
              <w:ind w:left="0" w:leftChars="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梁子湖区</w:t>
            </w:r>
            <w:r>
              <w:rPr>
                <w:rFonts w:hint="eastAsia" w:ascii="仿宋_GB2312" w:hAnsi="仿宋_GB2312" w:eastAsia="仿宋_GB2312" w:cs="仿宋_GB2312"/>
                <w:color w:val="auto"/>
                <w:szCs w:val="21"/>
              </w:rPr>
              <w:t>自然资源</w:t>
            </w:r>
            <w:r>
              <w:rPr>
                <w:rFonts w:hint="eastAsia" w:ascii="仿宋_GB2312" w:hAnsi="仿宋_GB2312" w:eastAsia="仿宋_GB2312" w:cs="仿宋_GB2312"/>
                <w:color w:val="auto"/>
                <w:szCs w:val="21"/>
                <w:lang w:eastAsia="zh-CN"/>
              </w:rPr>
              <w:t>和规划分局</w:t>
            </w:r>
          </w:p>
        </w:tc>
        <w:tc>
          <w:tcPr>
            <w:tcW w:w="1367" w:type="dxa"/>
            <w:vAlign w:val="center"/>
          </w:tcPr>
          <w:p w14:paraId="4717BF0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经测绘主管部门认定，具备相应测绘资质的机构</w:t>
            </w:r>
          </w:p>
        </w:tc>
        <w:tc>
          <w:tcPr>
            <w:tcW w:w="1153" w:type="dxa"/>
            <w:vAlign w:val="center"/>
          </w:tcPr>
          <w:p w14:paraId="3DCFB7BC">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45F9D52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65" w:type="dxa"/>
            <w:vAlign w:val="center"/>
          </w:tcPr>
          <w:p w14:paraId="437C43B9">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31BC3B0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b/>
                <w:bCs/>
                <w:color w:val="auto"/>
                <w:sz w:val="21"/>
                <w:szCs w:val="21"/>
              </w:rPr>
            </w:pPr>
            <w:r>
              <w:rPr>
                <w:rFonts w:hint="eastAsia" w:ascii="仿宋_GB2312" w:hAnsi="仿宋_GB2312" w:eastAsia="仿宋_GB2312" w:cs="仿宋_GB2312"/>
                <w:color w:val="auto"/>
                <w:sz w:val="21"/>
                <w:szCs w:val="21"/>
              </w:rPr>
              <w:t>合同约定</w:t>
            </w:r>
          </w:p>
        </w:tc>
        <w:tc>
          <w:tcPr>
            <w:tcW w:w="1159" w:type="dxa"/>
            <w:vAlign w:val="center"/>
          </w:tcPr>
          <w:p w14:paraId="57716A6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1602FBD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464" w:hRule="atLeast"/>
          <w:jc w:val="center"/>
        </w:trPr>
        <w:tc>
          <w:tcPr>
            <w:tcW w:w="594" w:type="dxa"/>
            <w:vAlign w:val="center"/>
          </w:tcPr>
          <w:p w14:paraId="238B502D">
            <w:pPr>
              <w:keepNext w:val="0"/>
              <w:keepLines w:val="0"/>
              <w:pageBreakBefore w:val="0"/>
              <w:numPr>
                <w:ilvl w:val="0"/>
                <w:numId w:val="1"/>
              </w:numPr>
              <w:kinsoku/>
              <w:wordWrap/>
              <w:overflowPunct/>
              <w:topLinePunct w:val="0"/>
              <w:autoSpaceDE/>
              <w:autoSpaceDN/>
              <w:bidi w:val="0"/>
              <w:adjustRightInd/>
              <w:snapToGrid/>
              <w:spacing w:line="280" w:lineRule="exact"/>
              <w:ind w:left="0" w:leftChars="0" w:firstLine="0" w:firstLineChars="0"/>
              <w:jc w:val="center"/>
              <w:rPr>
                <w:rFonts w:ascii="仿宋_GB2312" w:hAnsi="仿宋_GB2312" w:eastAsia="仿宋_GB2312" w:cs="仿宋_GB2312"/>
                <w:color w:val="auto"/>
                <w:szCs w:val="21"/>
              </w:rPr>
            </w:pPr>
          </w:p>
        </w:tc>
        <w:tc>
          <w:tcPr>
            <w:tcW w:w="1313" w:type="dxa"/>
            <w:vAlign w:val="center"/>
          </w:tcPr>
          <w:p w14:paraId="7FC4FD5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施工图设计文件审查</w:t>
            </w:r>
          </w:p>
        </w:tc>
        <w:tc>
          <w:tcPr>
            <w:tcW w:w="1648" w:type="dxa"/>
            <w:vAlign w:val="center"/>
          </w:tcPr>
          <w:p w14:paraId="66182AA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建筑工程施工许可</w:t>
            </w:r>
          </w:p>
        </w:tc>
        <w:tc>
          <w:tcPr>
            <w:tcW w:w="6525" w:type="dxa"/>
            <w:vAlign w:val="center"/>
          </w:tcPr>
          <w:p w14:paraId="3EEC7D4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《建筑工程施工许可管理办法》第四条 建设单位申请领取施工许可证，应当具备下列条件，并提交相应的证明文件：（五）有满足施工需要的技术资料，施工图设计文件已按规定审查合格。</w:t>
            </w:r>
          </w:p>
        </w:tc>
        <w:tc>
          <w:tcPr>
            <w:tcW w:w="1110" w:type="dxa"/>
            <w:vAlign w:val="center"/>
          </w:tcPr>
          <w:p w14:paraId="63B3D450">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eastAsia="zh-CN"/>
              </w:rPr>
              <w:t>梁子湖区</w:t>
            </w:r>
          </w:p>
          <w:p w14:paraId="0E158A60">
            <w:pPr>
              <w:keepNext w:val="0"/>
              <w:keepLines w:val="0"/>
              <w:pageBreakBefore w:val="0"/>
              <w:kinsoku/>
              <w:wordWrap/>
              <w:overflowPunct/>
              <w:topLinePunct w:val="0"/>
              <w:autoSpaceDE/>
              <w:autoSpaceDN/>
              <w:bidi w:val="0"/>
              <w:adjustRightInd/>
              <w:snapToGrid/>
              <w:spacing w:line="280" w:lineRule="exact"/>
              <w:ind w:left="0" w:leftChars="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住建局</w:t>
            </w:r>
          </w:p>
        </w:tc>
        <w:tc>
          <w:tcPr>
            <w:tcW w:w="1367" w:type="dxa"/>
            <w:vAlign w:val="center"/>
          </w:tcPr>
          <w:p w14:paraId="7C70923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具有二类以上资质的施工图审查机构</w:t>
            </w:r>
          </w:p>
        </w:tc>
        <w:tc>
          <w:tcPr>
            <w:tcW w:w="1153" w:type="dxa"/>
            <w:vAlign w:val="center"/>
          </w:tcPr>
          <w:p w14:paraId="200E1C6A">
            <w:pPr>
              <w:keepNext w:val="0"/>
              <w:keepLines w:val="0"/>
              <w:pageBreakBefore w:val="0"/>
              <w:kinsoku/>
              <w:wordWrap/>
              <w:overflowPunct/>
              <w:topLinePunct w:val="0"/>
              <w:autoSpaceDE/>
              <w:autoSpaceDN/>
              <w:bidi w:val="0"/>
              <w:adjustRightInd/>
              <w:snapToGrid/>
              <w:spacing w:line="280" w:lineRule="exact"/>
              <w:ind w:left="0"/>
              <w:jc w:val="both"/>
              <w:rPr>
                <w:rFonts w:hint="eastAsia" w:ascii="仿宋_GB2312" w:hAnsi="仿宋_GB2312" w:eastAsia="仿宋_GB2312" w:cs="仿宋_GB2312"/>
                <w:color w:val="auto"/>
                <w:sz w:val="21"/>
                <w:szCs w:val="21"/>
              </w:rPr>
            </w:pPr>
            <w:r>
              <w:rPr>
                <w:rFonts w:ascii="仿宋_GB2312" w:hAnsi="仿宋_GB2312" w:eastAsia="仿宋_GB2312" w:cs="仿宋_GB2312"/>
                <w:color w:val="auto"/>
                <w:sz w:val="21"/>
                <w:szCs w:val="21"/>
              </w:rPr>
              <w:t>特大型工程15个工作日、大型工程10个工作日，其他工程7个工作日</w:t>
            </w:r>
          </w:p>
        </w:tc>
        <w:tc>
          <w:tcPr>
            <w:tcW w:w="1165" w:type="dxa"/>
            <w:vAlign w:val="center"/>
          </w:tcPr>
          <w:p w14:paraId="72023BE6">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2375493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59" w:type="dxa"/>
            <w:vAlign w:val="center"/>
          </w:tcPr>
          <w:p w14:paraId="6E6C593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287B71F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127" w:hRule="atLeast"/>
          <w:jc w:val="center"/>
        </w:trPr>
        <w:tc>
          <w:tcPr>
            <w:tcW w:w="594" w:type="dxa"/>
            <w:vAlign w:val="center"/>
          </w:tcPr>
          <w:p w14:paraId="645B0E5B">
            <w:pPr>
              <w:keepNext w:val="0"/>
              <w:keepLines w:val="0"/>
              <w:pageBreakBefore w:val="0"/>
              <w:numPr>
                <w:ilvl w:val="0"/>
                <w:numId w:val="1"/>
              </w:numPr>
              <w:kinsoku/>
              <w:wordWrap/>
              <w:overflowPunct/>
              <w:topLinePunct w:val="0"/>
              <w:autoSpaceDE/>
              <w:autoSpaceDN/>
              <w:bidi w:val="0"/>
              <w:adjustRightInd/>
              <w:snapToGrid/>
              <w:spacing w:line="280" w:lineRule="exact"/>
              <w:ind w:left="0" w:leftChars="0" w:firstLine="0" w:firstLineChars="0"/>
              <w:jc w:val="center"/>
              <w:rPr>
                <w:rFonts w:ascii="仿宋_GB2312" w:hAnsi="仿宋_GB2312" w:eastAsia="仿宋_GB2312" w:cs="仿宋_GB2312"/>
                <w:color w:val="auto"/>
                <w:szCs w:val="21"/>
              </w:rPr>
            </w:pPr>
          </w:p>
        </w:tc>
        <w:tc>
          <w:tcPr>
            <w:tcW w:w="1313" w:type="dxa"/>
            <w:vAlign w:val="center"/>
          </w:tcPr>
          <w:p w14:paraId="23387D1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技术评价报告编制</w:t>
            </w:r>
          </w:p>
        </w:tc>
        <w:tc>
          <w:tcPr>
            <w:tcW w:w="1648" w:type="dxa"/>
            <w:vMerge w:val="restart"/>
            <w:vAlign w:val="center"/>
          </w:tcPr>
          <w:p w14:paraId="5BF4FB0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涉路施工活动的</w:t>
            </w:r>
          </w:p>
          <w:p w14:paraId="22ABD45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许可</w:t>
            </w:r>
          </w:p>
        </w:tc>
        <w:tc>
          <w:tcPr>
            <w:tcW w:w="6525" w:type="dxa"/>
            <w:vMerge w:val="restart"/>
            <w:vAlign w:val="center"/>
          </w:tcPr>
          <w:p w14:paraId="4E5BBA1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《公路安全保护条例》第二十八条</w:t>
            </w:r>
            <w:r>
              <w:rPr>
                <w:rFonts w:hint="eastAsia" w:ascii="仿宋_GB2312" w:hAnsi="仿宋_GB2312" w:eastAsia="仿宋_GB2312" w:cs="仿宋_GB2312"/>
                <w:color w:val="auto"/>
                <w:szCs w:val="21"/>
                <w:lang w:val="en-US" w:eastAsia="zh-CN"/>
              </w:rPr>
              <w:t xml:space="preserve"> </w:t>
            </w:r>
            <w:r>
              <w:rPr>
                <w:rFonts w:hint="eastAsia" w:ascii="仿宋_GB2312" w:hAnsi="仿宋_GB2312" w:eastAsia="仿宋_GB2312" w:cs="仿宋_GB2312"/>
                <w:color w:val="auto"/>
                <w:szCs w:val="21"/>
              </w:rPr>
              <w:t>申请进行涉路施工活动的建设单位应当向公路管理机构提交下列材料：</w:t>
            </w:r>
          </w:p>
          <w:p w14:paraId="75144B4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（一）符合有关技术标准、规范要求的设计和施工方案;</w:t>
            </w:r>
          </w:p>
          <w:p w14:paraId="3CA0DB9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（二）保障公路、公路附属设施质量和安全的技术评价报告;</w:t>
            </w:r>
          </w:p>
          <w:p w14:paraId="0A1B26D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（三）处置施工险情和意外事故的应急方案。</w:t>
            </w:r>
          </w:p>
        </w:tc>
        <w:tc>
          <w:tcPr>
            <w:tcW w:w="1110" w:type="dxa"/>
            <w:vMerge w:val="restart"/>
            <w:vAlign w:val="center"/>
          </w:tcPr>
          <w:p w14:paraId="154CB29C">
            <w:pPr>
              <w:keepNext w:val="0"/>
              <w:keepLines w:val="0"/>
              <w:pageBreakBefore w:val="0"/>
              <w:kinsoku/>
              <w:wordWrap/>
              <w:overflowPunct/>
              <w:topLinePunct w:val="0"/>
              <w:autoSpaceDE/>
              <w:autoSpaceDN/>
              <w:bidi w:val="0"/>
              <w:adjustRightInd/>
              <w:snapToGrid/>
              <w:spacing w:line="280" w:lineRule="exact"/>
              <w:ind w:left="0" w:leftChars="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梁子湖区</w:t>
            </w:r>
            <w:r>
              <w:rPr>
                <w:rFonts w:hint="eastAsia" w:ascii="仿宋_GB2312" w:hAnsi="仿宋_GB2312" w:eastAsia="仿宋_GB2312" w:cs="仿宋_GB2312"/>
                <w:color w:val="auto"/>
                <w:szCs w:val="21"/>
              </w:rPr>
              <w:t>交通运输局</w:t>
            </w:r>
          </w:p>
        </w:tc>
        <w:tc>
          <w:tcPr>
            <w:tcW w:w="1367" w:type="dxa"/>
            <w:vMerge w:val="restart"/>
            <w:vAlign w:val="center"/>
          </w:tcPr>
          <w:p w14:paraId="497441F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具备资质的实施技术评价的机构</w:t>
            </w:r>
          </w:p>
        </w:tc>
        <w:tc>
          <w:tcPr>
            <w:tcW w:w="1153" w:type="dxa"/>
            <w:vMerge w:val="restart"/>
            <w:vAlign w:val="center"/>
          </w:tcPr>
          <w:p w14:paraId="7598072B">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4581CFA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65" w:type="dxa"/>
            <w:vMerge w:val="restart"/>
            <w:vAlign w:val="center"/>
          </w:tcPr>
          <w:p w14:paraId="2E1935CE">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1E7BCFA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59" w:type="dxa"/>
            <w:vMerge w:val="restart"/>
            <w:vAlign w:val="center"/>
          </w:tcPr>
          <w:p w14:paraId="127539E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6F78A57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160" w:hRule="atLeast"/>
          <w:jc w:val="center"/>
        </w:trPr>
        <w:tc>
          <w:tcPr>
            <w:tcW w:w="594" w:type="dxa"/>
            <w:vAlign w:val="center"/>
          </w:tcPr>
          <w:p w14:paraId="55761E03">
            <w:pPr>
              <w:keepNext w:val="0"/>
              <w:keepLines w:val="0"/>
              <w:pageBreakBefore w:val="0"/>
              <w:numPr>
                <w:ilvl w:val="0"/>
                <w:numId w:val="1"/>
              </w:numPr>
              <w:kinsoku/>
              <w:wordWrap/>
              <w:overflowPunct/>
              <w:topLinePunct w:val="0"/>
              <w:autoSpaceDE/>
              <w:autoSpaceDN/>
              <w:bidi w:val="0"/>
              <w:adjustRightInd/>
              <w:snapToGrid/>
              <w:spacing w:line="280" w:lineRule="exact"/>
              <w:ind w:left="0" w:leftChars="0" w:firstLine="0" w:firstLineChars="0"/>
              <w:jc w:val="center"/>
              <w:rPr>
                <w:rFonts w:ascii="仿宋_GB2312" w:hAnsi="仿宋_GB2312" w:eastAsia="仿宋_GB2312" w:cs="仿宋_GB2312"/>
                <w:color w:val="auto"/>
                <w:szCs w:val="21"/>
              </w:rPr>
            </w:pPr>
          </w:p>
        </w:tc>
        <w:tc>
          <w:tcPr>
            <w:tcW w:w="1313" w:type="dxa"/>
            <w:vAlign w:val="center"/>
          </w:tcPr>
          <w:p w14:paraId="518DE6E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公路设计方案编制</w:t>
            </w:r>
          </w:p>
        </w:tc>
        <w:tc>
          <w:tcPr>
            <w:tcW w:w="1648" w:type="dxa"/>
            <w:vMerge w:val="continue"/>
            <w:vAlign w:val="center"/>
          </w:tcPr>
          <w:p w14:paraId="211B1B7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6525" w:type="dxa"/>
            <w:vMerge w:val="continue"/>
            <w:vAlign w:val="center"/>
          </w:tcPr>
          <w:p w14:paraId="3AA0E52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10" w:type="dxa"/>
            <w:vMerge w:val="continue"/>
            <w:vAlign w:val="center"/>
          </w:tcPr>
          <w:p w14:paraId="287DE03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367" w:type="dxa"/>
            <w:vMerge w:val="continue"/>
            <w:vAlign w:val="center"/>
          </w:tcPr>
          <w:p w14:paraId="28CBFC0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3" w:type="dxa"/>
            <w:vMerge w:val="continue"/>
            <w:vAlign w:val="center"/>
          </w:tcPr>
          <w:p w14:paraId="0323692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p>
        </w:tc>
        <w:tc>
          <w:tcPr>
            <w:tcW w:w="1165" w:type="dxa"/>
            <w:vMerge w:val="continue"/>
            <w:vAlign w:val="center"/>
          </w:tcPr>
          <w:p w14:paraId="32A2A39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p>
        </w:tc>
        <w:tc>
          <w:tcPr>
            <w:tcW w:w="1159" w:type="dxa"/>
            <w:vMerge w:val="continue"/>
            <w:vAlign w:val="center"/>
          </w:tcPr>
          <w:p w14:paraId="374818C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2833A95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754" w:hRule="atLeast"/>
          <w:jc w:val="center"/>
        </w:trPr>
        <w:tc>
          <w:tcPr>
            <w:tcW w:w="594" w:type="dxa"/>
            <w:vAlign w:val="center"/>
          </w:tcPr>
          <w:p w14:paraId="56710E0B">
            <w:pPr>
              <w:keepNext w:val="0"/>
              <w:keepLines w:val="0"/>
              <w:pageBreakBefore w:val="0"/>
              <w:numPr>
                <w:ilvl w:val="0"/>
                <w:numId w:val="1"/>
              </w:numPr>
              <w:kinsoku/>
              <w:wordWrap/>
              <w:overflowPunct/>
              <w:topLinePunct w:val="0"/>
              <w:autoSpaceDE/>
              <w:autoSpaceDN/>
              <w:bidi w:val="0"/>
              <w:adjustRightInd/>
              <w:snapToGrid/>
              <w:spacing w:line="280" w:lineRule="exact"/>
              <w:ind w:left="0" w:leftChars="0" w:firstLine="0" w:firstLineChars="0"/>
              <w:jc w:val="center"/>
              <w:rPr>
                <w:rFonts w:ascii="仿宋_GB2312" w:hAnsi="仿宋_GB2312" w:eastAsia="仿宋_GB2312" w:cs="仿宋_GB2312"/>
                <w:color w:val="auto"/>
                <w:szCs w:val="21"/>
              </w:rPr>
            </w:pPr>
          </w:p>
        </w:tc>
        <w:tc>
          <w:tcPr>
            <w:tcW w:w="1313" w:type="dxa"/>
            <w:vAlign w:val="center"/>
          </w:tcPr>
          <w:p w14:paraId="7E59FDB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公路施工方案编制</w:t>
            </w:r>
          </w:p>
        </w:tc>
        <w:tc>
          <w:tcPr>
            <w:tcW w:w="1648" w:type="dxa"/>
            <w:vMerge w:val="continue"/>
            <w:vAlign w:val="center"/>
          </w:tcPr>
          <w:p w14:paraId="3F99F85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6525" w:type="dxa"/>
            <w:vMerge w:val="continue"/>
            <w:vAlign w:val="center"/>
          </w:tcPr>
          <w:p w14:paraId="48F35B3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10" w:type="dxa"/>
            <w:vMerge w:val="continue"/>
            <w:vAlign w:val="center"/>
          </w:tcPr>
          <w:p w14:paraId="6D96CF6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367" w:type="dxa"/>
            <w:vMerge w:val="continue"/>
            <w:vAlign w:val="center"/>
          </w:tcPr>
          <w:p w14:paraId="35E05E3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3" w:type="dxa"/>
            <w:vMerge w:val="continue"/>
            <w:vAlign w:val="center"/>
          </w:tcPr>
          <w:p w14:paraId="3E30EB6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p>
        </w:tc>
        <w:tc>
          <w:tcPr>
            <w:tcW w:w="1165" w:type="dxa"/>
            <w:vMerge w:val="continue"/>
            <w:vAlign w:val="center"/>
          </w:tcPr>
          <w:p w14:paraId="3112C24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p>
        </w:tc>
        <w:tc>
          <w:tcPr>
            <w:tcW w:w="1159" w:type="dxa"/>
            <w:vMerge w:val="continue"/>
            <w:vAlign w:val="center"/>
          </w:tcPr>
          <w:p w14:paraId="6ACA147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4F59353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242" w:hRule="atLeast"/>
          <w:jc w:val="center"/>
        </w:trPr>
        <w:tc>
          <w:tcPr>
            <w:tcW w:w="594" w:type="dxa"/>
            <w:vAlign w:val="center"/>
          </w:tcPr>
          <w:p w14:paraId="1D33F1FA">
            <w:pPr>
              <w:keepNext w:val="0"/>
              <w:keepLines w:val="0"/>
              <w:pageBreakBefore w:val="0"/>
              <w:numPr>
                <w:ilvl w:val="0"/>
                <w:numId w:val="1"/>
              </w:numPr>
              <w:kinsoku/>
              <w:wordWrap/>
              <w:overflowPunct/>
              <w:topLinePunct w:val="0"/>
              <w:autoSpaceDE/>
              <w:autoSpaceDN/>
              <w:bidi w:val="0"/>
              <w:adjustRightInd/>
              <w:snapToGrid/>
              <w:spacing w:line="280" w:lineRule="exact"/>
              <w:ind w:left="0" w:leftChars="0" w:firstLine="0" w:firstLineChars="0"/>
              <w:jc w:val="center"/>
              <w:rPr>
                <w:rFonts w:ascii="仿宋_GB2312" w:hAnsi="仿宋_GB2312" w:eastAsia="仿宋_GB2312" w:cs="仿宋_GB2312"/>
                <w:color w:val="auto"/>
                <w:szCs w:val="21"/>
              </w:rPr>
            </w:pPr>
          </w:p>
        </w:tc>
        <w:tc>
          <w:tcPr>
            <w:tcW w:w="1313" w:type="dxa"/>
            <w:vAlign w:val="center"/>
          </w:tcPr>
          <w:p w14:paraId="0C70432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初步设计报告编制</w:t>
            </w:r>
          </w:p>
        </w:tc>
        <w:tc>
          <w:tcPr>
            <w:tcW w:w="1648" w:type="dxa"/>
            <w:vMerge w:val="restart"/>
            <w:vAlign w:val="center"/>
          </w:tcPr>
          <w:p w14:paraId="39B4552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公路水运建设项目设计文件审批（市管公路、水运建设项目）</w:t>
            </w:r>
          </w:p>
        </w:tc>
        <w:tc>
          <w:tcPr>
            <w:tcW w:w="6525" w:type="dxa"/>
            <w:vMerge w:val="restart"/>
            <w:vAlign w:val="center"/>
          </w:tcPr>
          <w:p w14:paraId="59B1D33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《中华人民共和国公路法》第二十二条 公路建设应当按照国家规定的基本建设程序和有关规定进行。</w:t>
            </w:r>
          </w:p>
          <w:p w14:paraId="4F9EC71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《建设工程质量管理条例》第五条 从事建设工程活动，必须严格执行基本建设程序，坚持先勘察、后设计、再施工的原则。县级以上人民政府及其有关部门不得超越权限审批建设项目或者擅自简化基本建设程序。第十一条 施工图设计文件审查的具体办法，由国务院建设行政主管部门、国务院其他有关部门制定。</w:t>
            </w:r>
          </w:p>
          <w:p w14:paraId="5B15FAA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《航道建设管理规定》第九条 政府投资的航道建设项目，按照以下建设程序执行：（一）根据规划，开展预可行性研究，编制项目建议书；（四）根据批准的初步设计文件，编制施工图设计文件。</w:t>
            </w:r>
          </w:p>
          <w:p w14:paraId="2E96367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《港口建设管理规定》第八条 政府投资的港口建设项目，按照以下建设程序执行：（一）开展工程预可行性研究，编制项目建议书；（四）根据批准的初步设计，编制施工图设计文件。</w:t>
            </w:r>
          </w:p>
          <w:p w14:paraId="3247B48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《公路建设市场管理办法》第九条 省级以下地方人民政府交通运输主管部门负责本行政区域内公路建设市场的监督管理工作，主要职责是（三）对本行政区域内公路建设市场进行监督检查；第十条 凡符合法律、法规规定的市场准入条件的从业单位和从业人员均可进入公路建设市场，任何单位和个人不得对公路建设市场实行地方保护，不得对符合市场准入条件的从业单位和从业人员实行歧视待遇。</w:t>
            </w:r>
          </w:p>
          <w:p w14:paraId="387B514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《公路建设监督管理办法》第九条 政府投资公路建设项目的实施，应当按照下列程序进行：（一）根据规划，编制项目建议书；（四）根据批准的初步设计文件，编制施工图设计文件。第十条 企业投资公路建设项目的实施，应当按照下列程序进行：（一）根据规划，编制工程可行性研究报告；（三）投资人编制项目申请报告，按规定报项目审批部门核准；（五）根据初步设计文件编制施工图设计文件。</w:t>
            </w:r>
          </w:p>
        </w:tc>
        <w:tc>
          <w:tcPr>
            <w:tcW w:w="1110" w:type="dxa"/>
            <w:vMerge w:val="restart"/>
            <w:vAlign w:val="center"/>
          </w:tcPr>
          <w:p w14:paraId="7F8569B1">
            <w:pPr>
              <w:keepNext w:val="0"/>
              <w:keepLines w:val="0"/>
              <w:pageBreakBefore w:val="0"/>
              <w:kinsoku/>
              <w:wordWrap/>
              <w:overflowPunct/>
              <w:topLinePunct w:val="0"/>
              <w:autoSpaceDE/>
              <w:autoSpaceDN/>
              <w:bidi w:val="0"/>
              <w:adjustRightInd/>
              <w:snapToGrid/>
              <w:spacing w:line="280" w:lineRule="exact"/>
              <w:ind w:left="0" w:leftChars="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梁子湖区</w:t>
            </w:r>
            <w:r>
              <w:rPr>
                <w:rFonts w:hint="eastAsia" w:ascii="仿宋_GB2312" w:hAnsi="仿宋_GB2312" w:eastAsia="仿宋_GB2312" w:cs="仿宋_GB2312"/>
                <w:color w:val="auto"/>
                <w:szCs w:val="21"/>
              </w:rPr>
              <w:t>交通运输局</w:t>
            </w:r>
          </w:p>
        </w:tc>
        <w:tc>
          <w:tcPr>
            <w:tcW w:w="1367" w:type="dxa"/>
            <w:vMerge w:val="restart"/>
            <w:vAlign w:val="center"/>
          </w:tcPr>
          <w:p w14:paraId="5FC7C2B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具有资质的咨询设计机构</w:t>
            </w:r>
          </w:p>
        </w:tc>
        <w:tc>
          <w:tcPr>
            <w:tcW w:w="1153" w:type="dxa"/>
            <w:vMerge w:val="restart"/>
            <w:vAlign w:val="center"/>
          </w:tcPr>
          <w:p w14:paraId="5CD78F6B">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427B7CB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65" w:type="dxa"/>
            <w:vMerge w:val="restart"/>
            <w:vAlign w:val="center"/>
          </w:tcPr>
          <w:p w14:paraId="59A78D65">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2D6BC56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b/>
                <w:bCs/>
                <w:color w:val="auto"/>
                <w:sz w:val="21"/>
                <w:szCs w:val="21"/>
              </w:rPr>
            </w:pPr>
            <w:r>
              <w:rPr>
                <w:rFonts w:hint="eastAsia" w:ascii="仿宋_GB2312" w:hAnsi="仿宋_GB2312" w:eastAsia="仿宋_GB2312" w:cs="仿宋_GB2312"/>
                <w:color w:val="auto"/>
                <w:sz w:val="21"/>
                <w:szCs w:val="21"/>
              </w:rPr>
              <w:t>合同约定</w:t>
            </w:r>
          </w:p>
        </w:tc>
        <w:tc>
          <w:tcPr>
            <w:tcW w:w="1159" w:type="dxa"/>
            <w:vMerge w:val="restart"/>
            <w:vAlign w:val="center"/>
          </w:tcPr>
          <w:p w14:paraId="57B7B8B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607DFE6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5572" w:hRule="atLeast"/>
          <w:jc w:val="center"/>
        </w:trPr>
        <w:tc>
          <w:tcPr>
            <w:tcW w:w="594" w:type="dxa"/>
            <w:vAlign w:val="center"/>
          </w:tcPr>
          <w:p w14:paraId="61D7FB58">
            <w:pPr>
              <w:keepNext w:val="0"/>
              <w:keepLines w:val="0"/>
              <w:pageBreakBefore w:val="0"/>
              <w:numPr>
                <w:ilvl w:val="0"/>
                <w:numId w:val="1"/>
              </w:numPr>
              <w:kinsoku/>
              <w:wordWrap/>
              <w:overflowPunct/>
              <w:topLinePunct w:val="0"/>
              <w:autoSpaceDE/>
              <w:autoSpaceDN/>
              <w:bidi w:val="0"/>
              <w:adjustRightInd/>
              <w:snapToGrid/>
              <w:spacing w:line="280" w:lineRule="exact"/>
              <w:ind w:left="0" w:leftChars="0" w:firstLine="0" w:firstLineChars="0"/>
              <w:jc w:val="center"/>
              <w:rPr>
                <w:rFonts w:ascii="仿宋_GB2312" w:hAnsi="仿宋_GB2312" w:eastAsia="仿宋_GB2312" w:cs="仿宋_GB2312"/>
                <w:color w:val="auto"/>
                <w:szCs w:val="21"/>
              </w:rPr>
            </w:pPr>
          </w:p>
        </w:tc>
        <w:tc>
          <w:tcPr>
            <w:tcW w:w="1313" w:type="dxa"/>
            <w:vAlign w:val="center"/>
          </w:tcPr>
          <w:p w14:paraId="07E77A4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施工图设计图纸编制</w:t>
            </w:r>
          </w:p>
        </w:tc>
        <w:tc>
          <w:tcPr>
            <w:tcW w:w="1648" w:type="dxa"/>
            <w:vMerge w:val="continue"/>
            <w:vAlign w:val="center"/>
          </w:tcPr>
          <w:p w14:paraId="27429E1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6525" w:type="dxa"/>
            <w:vMerge w:val="continue"/>
            <w:vAlign w:val="center"/>
          </w:tcPr>
          <w:p w14:paraId="25B7AE4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10" w:type="dxa"/>
            <w:vMerge w:val="continue"/>
            <w:vAlign w:val="center"/>
          </w:tcPr>
          <w:p w14:paraId="1CC33927">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67" w:type="dxa"/>
            <w:vMerge w:val="continue"/>
            <w:vAlign w:val="center"/>
          </w:tcPr>
          <w:p w14:paraId="240CF1B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3" w:type="dxa"/>
            <w:vMerge w:val="continue"/>
            <w:vAlign w:val="center"/>
          </w:tcPr>
          <w:p w14:paraId="03757CD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p>
        </w:tc>
        <w:tc>
          <w:tcPr>
            <w:tcW w:w="1165" w:type="dxa"/>
            <w:vMerge w:val="continue"/>
            <w:vAlign w:val="center"/>
          </w:tcPr>
          <w:p w14:paraId="02E8D62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b/>
                <w:bCs/>
                <w:color w:val="auto"/>
                <w:sz w:val="21"/>
                <w:szCs w:val="21"/>
              </w:rPr>
            </w:pPr>
          </w:p>
        </w:tc>
        <w:tc>
          <w:tcPr>
            <w:tcW w:w="1159" w:type="dxa"/>
            <w:vMerge w:val="continue"/>
            <w:vAlign w:val="center"/>
          </w:tcPr>
          <w:p w14:paraId="7A68EEE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3CC8BAD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7184" w:hRule="atLeast"/>
          <w:jc w:val="center"/>
        </w:trPr>
        <w:tc>
          <w:tcPr>
            <w:tcW w:w="594" w:type="dxa"/>
            <w:vAlign w:val="center"/>
          </w:tcPr>
          <w:p w14:paraId="3B0A8FB4">
            <w:pPr>
              <w:keepNext w:val="0"/>
              <w:keepLines w:val="0"/>
              <w:pageBreakBefore w:val="0"/>
              <w:numPr>
                <w:ilvl w:val="0"/>
                <w:numId w:val="1"/>
              </w:numPr>
              <w:kinsoku/>
              <w:wordWrap/>
              <w:overflowPunct/>
              <w:topLinePunct w:val="0"/>
              <w:autoSpaceDE/>
              <w:autoSpaceDN/>
              <w:bidi w:val="0"/>
              <w:adjustRightInd/>
              <w:snapToGrid/>
              <w:spacing w:line="280" w:lineRule="exact"/>
              <w:ind w:left="0" w:leftChars="0" w:firstLine="0" w:firstLineChars="0"/>
              <w:jc w:val="center"/>
              <w:rPr>
                <w:rFonts w:ascii="仿宋_GB2312" w:hAnsi="仿宋_GB2312" w:eastAsia="仿宋_GB2312" w:cs="仿宋_GB2312"/>
                <w:color w:val="auto"/>
                <w:szCs w:val="21"/>
              </w:rPr>
            </w:pPr>
          </w:p>
        </w:tc>
        <w:tc>
          <w:tcPr>
            <w:tcW w:w="1313" w:type="dxa"/>
            <w:vAlign w:val="center"/>
          </w:tcPr>
          <w:p w14:paraId="47AFE22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安全设施设计专篇编制</w:t>
            </w:r>
          </w:p>
        </w:tc>
        <w:tc>
          <w:tcPr>
            <w:tcW w:w="1648" w:type="dxa"/>
            <w:vAlign w:val="center"/>
          </w:tcPr>
          <w:p w14:paraId="78256EA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港口经营许可（除国际集装箱装卸、港口理货、港口滚装[不含载货汽车滚装]业务）</w:t>
            </w:r>
          </w:p>
        </w:tc>
        <w:tc>
          <w:tcPr>
            <w:tcW w:w="6525" w:type="dxa"/>
            <w:vAlign w:val="center"/>
          </w:tcPr>
          <w:p w14:paraId="5158C97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《中华人民共和国安全生产法》第四条 生产经营单位必须遵守本法和其他有关安全生产的法律、法规，加强安全生产管理，建立、健全安全生产责任制和安全生产规章制度，改善安全生产条件，推进安全生产标准化建设，提高安全生产水平，确保安全生产。 第二十八条 生产经营单位新建、改建、扩建工程项目（以下统称建设项目）的安全设施，必须与主体工程同时设计、同时施工、同时投入生产和使用。安全设施投资应当纳入建设项目概算。</w:t>
            </w:r>
          </w:p>
          <w:p w14:paraId="588FF38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《危险化学品安全管理条例》第十二条 新建、改建、扩建储存、装卸危险化学品的港口建设项目，由港口部门按照国务院交通部门的规定进行安全条件审查。</w:t>
            </w:r>
          </w:p>
          <w:p w14:paraId="297E307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《港口危险货物安全管理规定》第十三条 建设单位应当在危险货物港口建设项目初步设计阶段按照国家有关规定委托设计单位对安全设施进行设计。第十六条 已经通过审查的危险货物港口建设项目安全设施设计有下列情形之一的，建设单位应当报原审查部门重新申请安全设施设计审查。</w:t>
            </w:r>
          </w:p>
          <w:p w14:paraId="20AD766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《危险化学品建设项目安全监督管理办法》第七条 建设项目的设计、施工、监理单位和安全评价机构应当具备相应的资质，并对其工作成果负责。 </w:t>
            </w:r>
          </w:p>
          <w:p w14:paraId="346B806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《建设项目安全设施“三同时”监督管理办法》第十条 生产经营单位在建设项目初步设计时，应当委托有相应资质的初步设计单位对建设项目安全设施同时进行设计，编制安全设施设计。</w:t>
            </w:r>
          </w:p>
          <w:p w14:paraId="6E6A17D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第十二条 ……提交下列文件资料（二）建设项目安全设施设计审查申请。</w:t>
            </w:r>
          </w:p>
        </w:tc>
        <w:tc>
          <w:tcPr>
            <w:tcW w:w="1110" w:type="dxa"/>
            <w:vAlign w:val="center"/>
          </w:tcPr>
          <w:p w14:paraId="00FFE6AB">
            <w:pPr>
              <w:keepNext w:val="0"/>
              <w:keepLines w:val="0"/>
              <w:pageBreakBefore w:val="0"/>
              <w:kinsoku/>
              <w:wordWrap/>
              <w:overflowPunct/>
              <w:topLinePunct w:val="0"/>
              <w:autoSpaceDE/>
              <w:autoSpaceDN/>
              <w:bidi w:val="0"/>
              <w:adjustRightInd/>
              <w:snapToGrid/>
              <w:spacing w:line="280" w:lineRule="exact"/>
              <w:ind w:left="0" w:leftChars="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梁子湖区</w:t>
            </w:r>
            <w:r>
              <w:rPr>
                <w:rFonts w:hint="eastAsia" w:ascii="仿宋_GB2312" w:hAnsi="仿宋_GB2312" w:eastAsia="仿宋_GB2312" w:cs="仿宋_GB2312"/>
                <w:color w:val="auto"/>
                <w:szCs w:val="21"/>
              </w:rPr>
              <w:t>交通运输局</w:t>
            </w:r>
          </w:p>
        </w:tc>
        <w:tc>
          <w:tcPr>
            <w:tcW w:w="1367" w:type="dxa"/>
            <w:vAlign w:val="center"/>
          </w:tcPr>
          <w:p w14:paraId="28760AA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具有资质的咨询设计机构</w:t>
            </w:r>
          </w:p>
        </w:tc>
        <w:tc>
          <w:tcPr>
            <w:tcW w:w="1153" w:type="dxa"/>
            <w:vAlign w:val="center"/>
          </w:tcPr>
          <w:p w14:paraId="47A81EA0">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729EDF4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65" w:type="dxa"/>
            <w:vAlign w:val="center"/>
          </w:tcPr>
          <w:p w14:paraId="502B88F9">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232B146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b/>
                <w:bCs/>
                <w:color w:val="auto"/>
                <w:sz w:val="21"/>
                <w:szCs w:val="21"/>
              </w:rPr>
            </w:pPr>
            <w:r>
              <w:rPr>
                <w:rFonts w:hint="eastAsia" w:ascii="仿宋_GB2312" w:hAnsi="仿宋_GB2312" w:eastAsia="仿宋_GB2312" w:cs="仿宋_GB2312"/>
                <w:color w:val="auto"/>
                <w:sz w:val="21"/>
                <w:szCs w:val="21"/>
              </w:rPr>
              <w:t>合同约定</w:t>
            </w:r>
          </w:p>
        </w:tc>
        <w:tc>
          <w:tcPr>
            <w:tcW w:w="1159" w:type="dxa"/>
            <w:vAlign w:val="center"/>
          </w:tcPr>
          <w:p w14:paraId="564C4C7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5B970C6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061" w:hRule="atLeast"/>
          <w:jc w:val="center"/>
        </w:trPr>
        <w:tc>
          <w:tcPr>
            <w:tcW w:w="594" w:type="dxa"/>
            <w:vAlign w:val="center"/>
          </w:tcPr>
          <w:p w14:paraId="420EBC3A">
            <w:pPr>
              <w:keepNext w:val="0"/>
              <w:keepLines w:val="0"/>
              <w:pageBreakBefore w:val="0"/>
              <w:numPr>
                <w:ilvl w:val="0"/>
                <w:numId w:val="1"/>
              </w:numPr>
              <w:kinsoku/>
              <w:wordWrap/>
              <w:overflowPunct/>
              <w:topLinePunct w:val="0"/>
              <w:autoSpaceDE/>
              <w:autoSpaceDN/>
              <w:bidi w:val="0"/>
              <w:adjustRightInd/>
              <w:snapToGrid/>
              <w:spacing w:line="280" w:lineRule="exact"/>
              <w:ind w:left="0" w:leftChars="0" w:firstLine="0" w:firstLineChars="0"/>
              <w:jc w:val="center"/>
              <w:rPr>
                <w:rFonts w:ascii="仿宋_GB2312" w:hAnsi="仿宋_GB2312" w:eastAsia="仿宋_GB2312" w:cs="仿宋_GB2312"/>
                <w:color w:val="auto"/>
                <w:szCs w:val="21"/>
              </w:rPr>
            </w:pPr>
          </w:p>
        </w:tc>
        <w:tc>
          <w:tcPr>
            <w:tcW w:w="1313" w:type="dxa"/>
            <w:vAlign w:val="center"/>
          </w:tcPr>
          <w:p w14:paraId="3EFCE86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安全评价报告编制</w:t>
            </w:r>
          </w:p>
        </w:tc>
        <w:tc>
          <w:tcPr>
            <w:tcW w:w="1648" w:type="dxa"/>
            <w:vAlign w:val="center"/>
          </w:tcPr>
          <w:p w14:paraId="1AE0AB0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港口经营许可（除国际集装箱装卸、港口理货、港口滚装[不含载货汽车滚装]业务）</w:t>
            </w:r>
          </w:p>
        </w:tc>
        <w:tc>
          <w:tcPr>
            <w:tcW w:w="6525" w:type="dxa"/>
            <w:vAlign w:val="center"/>
          </w:tcPr>
          <w:p w14:paraId="0749327A">
            <w:pPr>
              <w:keepNext w:val="0"/>
              <w:keepLines w:val="0"/>
              <w:pageBreakBefore w:val="0"/>
              <w:kinsoku/>
              <w:wordWrap/>
              <w:overflowPunct/>
              <w:topLinePunct w:val="0"/>
              <w:autoSpaceDE/>
              <w:autoSpaceDN/>
              <w:bidi w:val="0"/>
              <w:adjustRightInd/>
              <w:snapToGrid/>
              <w:spacing w:line="280" w:lineRule="exact"/>
              <w:ind w:left="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《港口危险货物安全管理规定》(交通运输部令2013年第9号)第八条　涉及危险化学品的港口建设项目，建设单位还应当进行安全条件论证，并编制安全条件论证报告。安全条件论证的内容应当包括：（一）建设项目内在的危险和有害因素对安全生产的影响；（二）建设项目与周边设施或者单位、人员密集区、敏感性设施和敏感环境区域在安全方面的相互影响；（三）自然条件对建设项目的影响。                                                              第二十八条　危险货物港口经营人应当在取得经营资质后，按照国家有关规定委托有资质的安全评价机构，对本单位的安全生产条件每3年进行一次安全评价，提出安全评价报告。安全评价报告的内容应当包括对事故隐患的整改情况、遗留隐患和安全条件改进建议。</w:t>
            </w:r>
          </w:p>
          <w:p w14:paraId="1F47AFBE">
            <w:pPr>
              <w:keepNext w:val="0"/>
              <w:keepLines w:val="0"/>
              <w:pageBreakBefore w:val="0"/>
              <w:kinsoku/>
              <w:wordWrap/>
              <w:overflowPunct/>
              <w:topLinePunct w:val="0"/>
              <w:autoSpaceDE/>
              <w:autoSpaceDN/>
              <w:bidi w:val="0"/>
              <w:adjustRightInd/>
              <w:snapToGrid/>
              <w:spacing w:line="280" w:lineRule="exact"/>
              <w:ind w:left="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危险货物港口经营人应当将安全评价报告以及落实情况报所在地港口行政管理部门备案。</w:t>
            </w:r>
          </w:p>
          <w:p w14:paraId="06139EE4">
            <w:pPr>
              <w:keepNext w:val="0"/>
              <w:keepLines w:val="0"/>
              <w:pageBreakBefore w:val="0"/>
              <w:kinsoku/>
              <w:wordWrap/>
              <w:overflowPunct/>
              <w:topLinePunct w:val="0"/>
              <w:autoSpaceDE/>
              <w:autoSpaceDN/>
              <w:bidi w:val="0"/>
              <w:adjustRightInd/>
              <w:snapToGrid/>
              <w:spacing w:line="280" w:lineRule="exact"/>
              <w:ind w:left="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第二十九条　出现下列情形之一的，危险货物港口经营人应当重新进行安全评价，并按照本规定第二十八条的规定进行备案：（一）增加作业的危险货物品种；（二）作业的危险货物数量增加，构成重大危险源或者重大危险源等级提高的；（三）发生火灾、爆炸或者危险货物泄漏，导致人员死亡、重伤或者事故等级达到较大事故以上的；（四）周边环境因素发生重大变化，可能对港口安全生产带来重大影响的。</w:t>
            </w:r>
          </w:p>
          <w:p w14:paraId="34BABA5E">
            <w:pPr>
              <w:keepNext w:val="0"/>
              <w:keepLines w:val="0"/>
              <w:pageBreakBefore w:val="0"/>
              <w:kinsoku/>
              <w:wordWrap/>
              <w:overflowPunct/>
              <w:topLinePunct w:val="0"/>
              <w:autoSpaceDE/>
              <w:autoSpaceDN/>
              <w:bidi w:val="0"/>
              <w:adjustRightInd/>
              <w:snapToGrid/>
              <w:spacing w:line="280" w:lineRule="exact"/>
              <w:ind w:left="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增加作业的危险货物品种或者数量，涉及变更经营范围的，除应当符合环保、消防、职业卫生等方面相关主管部门的要求外，还应当按照本规定第二十六条的规定重新申请《港口经营许可证》及《港口危险货物作业附证》。</w:t>
            </w:r>
          </w:p>
          <w:p w14:paraId="5B74AE33">
            <w:pPr>
              <w:keepNext w:val="0"/>
              <w:keepLines w:val="0"/>
              <w:pageBreakBefore w:val="0"/>
              <w:kinsoku/>
              <w:wordWrap/>
              <w:overflowPunct/>
              <w:topLinePunct w:val="0"/>
              <w:autoSpaceDE/>
              <w:autoSpaceDN/>
              <w:bidi w:val="0"/>
              <w:adjustRightInd/>
              <w:snapToGrid/>
              <w:spacing w:line="280" w:lineRule="exact"/>
              <w:ind w:left="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现有设施需要进行改扩建的，除应当履行改扩建手续外，还应当履行本规定第二章安全审查的有关规定。</w:t>
            </w:r>
          </w:p>
        </w:tc>
        <w:tc>
          <w:tcPr>
            <w:tcW w:w="1110" w:type="dxa"/>
            <w:vAlign w:val="center"/>
          </w:tcPr>
          <w:p w14:paraId="7708CB01">
            <w:pPr>
              <w:keepNext w:val="0"/>
              <w:keepLines w:val="0"/>
              <w:pageBreakBefore w:val="0"/>
              <w:kinsoku/>
              <w:wordWrap/>
              <w:overflowPunct/>
              <w:topLinePunct w:val="0"/>
              <w:autoSpaceDE/>
              <w:autoSpaceDN/>
              <w:bidi w:val="0"/>
              <w:adjustRightInd/>
              <w:snapToGrid/>
              <w:spacing w:line="280" w:lineRule="exact"/>
              <w:ind w:left="0" w:leftChars="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梁子湖区</w:t>
            </w:r>
            <w:r>
              <w:rPr>
                <w:rFonts w:hint="eastAsia" w:ascii="仿宋_GB2312" w:hAnsi="仿宋_GB2312" w:eastAsia="仿宋_GB2312" w:cs="仿宋_GB2312"/>
                <w:color w:val="auto"/>
                <w:szCs w:val="21"/>
              </w:rPr>
              <w:t>交通运输局</w:t>
            </w:r>
          </w:p>
        </w:tc>
        <w:tc>
          <w:tcPr>
            <w:tcW w:w="1367" w:type="dxa"/>
            <w:vAlign w:val="center"/>
          </w:tcPr>
          <w:p w14:paraId="56F7021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具有资质的第三方机构</w:t>
            </w:r>
          </w:p>
        </w:tc>
        <w:tc>
          <w:tcPr>
            <w:tcW w:w="1153" w:type="dxa"/>
            <w:vAlign w:val="center"/>
          </w:tcPr>
          <w:p w14:paraId="5B8F6D80">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6D2058F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65" w:type="dxa"/>
            <w:vAlign w:val="center"/>
          </w:tcPr>
          <w:p w14:paraId="0A9164FC">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0ADE341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59" w:type="dxa"/>
            <w:vAlign w:val="center"/>
          </w:tcPr>
          <w:p w14:paraId="5C8F0E4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2559FA6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135" w:hRule="atLeast"/>
          <w:jc w:val="center"/>
        </w:trPr>
        <w:tc>
          <w:tcPr>
            <w:tcW w:w="594" w:type="dxa"/>
            <w:vMerge w:val="restart"/>
            <w:vAlign w:val="center"/>
          </w:tcPr>
          <w:p w14:paraId="254B7002">
            <w:pPr>
              <w:keepNext w:val="0"/>
              <w:keepLines w:val="0"/>
              <w:pageBreakBefore w:val="0"/>
              <w:numPr>
                <w:ilvl w:val="0"/>
                <w:numId w:val="1"/>
              </w:numPr>
              <w:kinsoku/>
              <w:wordWrap/>
              <w:overflowPunct/>
              <w:topLinePunct w:val="0"/>
              <w:autoSpaceDE/>
              <w:autoSpaceDN/>
              <w:bidi w:val="0"/>
              <w:adjustRightInd/>
              <w:snapToGrid/>
              <w:spacing w:line="280" w:lineRule="exact"/>
              <w:ind w:left="0" w:leftChars="0" w:firstLine="0" w:firstLineChars="0"/>
              <w:jc w:val="center"/>
              <w:rPr>
                <w:rFonts w:ascii="仿宋_GB2312" w:hAnsi="仿宋_GB2312" w:eastAsia="仿宋_GB2312" w:cs="仿宋_GB2312"/>
                <w:color w:val="auto"/>
                <w:szCs w:val="21"/>
              </w:rPr>
            </w:pPr>
          </w:p>
        </w:tc>
        <w:tc>
          <w:tcPr>
            <w:tcW w:w="1313" w:type="dxa"/>
            <w:vMerge w:val="restart"/>
            <w:vAlign w:val="center"/>
          </w:tcPr>
          <w:p w14:paraId="4083E81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出具机动车综合性能检测、技术等级和客车类型等级评定报告</w:t>
            </w:r>
          </w:p>
        </w:tc>
        <w:tc>
          <w:tcPr>
            <w:tcW w:w="1648" w:type="dxa"/>
            <w:vAlign w:val="center"/>
          </w:tcPr>
          <w:p w14:paraId="21A11DE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道路旅客运输经许可、年审</w:t>
            </w:r>
          </w:p>
        </w:tc>
        <w:tc>
          <w:tcPr>
            <w:tcW w:w="6525" w:type="dxa"/>
            <w:vMerge w:val="restart"/>
            <w:vAlign w:val="center"/>
          </w:tcPr>
          <w:p w14:paraId="509D879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《道路运输车辆技术管理规定》（交通部2016年1号令）</w:t>
            </w:r>
          </w:p>
          <w:p w14:paraId="117071B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第二十条 道路运输经营者应当自道路运输车辆首次取得《道路运输证》当月起，按照下列周期和频次，委托汽车综合性能检测机构进行综合性能检测和技术等级评定。</w:t>
            </w:r>
          </w:p>
          <w:p w14:paraId="19F90B2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第二十二条 道路运输经营者应当选择通过质量技术监督部门的计量认证、取得计量认证证书并符合《汽车综合性能检测站能力的通用要求》（GB 17993）等国家相关标准的检测机构进行车辆的综合性能检测。</w:t>
            </w:r>
          </w:p>
          <w:p w14:paraId="0DDBE96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第二十四条 道路运输管理机构和受其委托承担客车类型等级评定工作的汽车综合性能检测机构，应当按照《营运客车类型划分及等级评定》（JT/T 325）进行营运客车类型等级评定或者年度类型等级评定复核，出具统一式样的客车类型等级评定报告。</w:t>
            </w:r>
          </w:p>
        </w:tc>
        <w:tc>
          <w:tcPr>
            <w:tcW w:w="1110" w:type="dxa"/>
            <w:vMerge w:val="restart"/>
            <w:vAlign w:val="center"/>
          </w:tcPr>
          <w:p w14:paraId="26CDDDB6">
            <w:pPr>
              <w:keepNext w:val="0"/>
              <w:keepLines w:val="0"/>
              <w:pageBreakBefore w:val="0"/>
              <w:kinsoku/>
              <w:wordWrap/>
              <w:overflowPunct/>
              <w:topLinePunct w:val="0"/>
              <w:autoSpaceDE/>
              <w:autoSpaceDN/>
              <w:bidi w:val="0"/>
              <w:adjustRightInd/>
              <w:snapToGrid/>
              <w:spacing w:line="280" w:lineRule="exact"/>
              <w:ind w:left="0" w:leftChars="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梁子湖区</w:t>
            </w:r>
            <w:r>
              <w:rPr>
                <w:rFonts w:hint="eastAsia" w:ascii="仿宋_GB2312" w:hAnsi="仿宋_GB2312" w:eastAsia="仿宋_GB2312" w:cs="仿宋_GB2312"/>
                <w:color w:val="auto"/>
                <w:szCs w:val="21"/>
              </w:rPr>
              <w:t>交通运输局</w:t>
            </w:r>
          </w:p>
        </w:tc>
        <w:tc>
          <w:tcPr>
            <w:tcW w:w="1367" w:type="dxa"/>
            <w:vMerge w:val="restart"/>
            <w:vAlign w:val="center"/>
          </w:tcPr>
          <w:p w14:paraId="4AA65BB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通过质量技术监督部门的计量认证、取得计量认证证书并符合《汽车综合性能检测站能力的通用要求》 （GB17993）等国家相关标准的检测机构</w:t>
            </w:r>
          </w:p>
        </w:tc>
        <w:tc>
          <w:tcPr>
            <w:tcW w:w="1153" w:type="dxa"/>
            <w:vMerge w:val="restart"/>
            <w:vAlign w:val="center"/>
          </w:tcPr>
          <w:p w14:paraId="06BC1DD1">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2F2A077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65" w:type="dxa"/>
            <w:vMerge w:val="restart"/>
            <w:vAlign w:val="center"/>
          </w:tcPr>
          <w:p w14:paraId="2E2A518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按市发改委核定价格收费</w:t>
            </w:r>
          </w:p>
        </w:tc>
        <w:tc>
          <w:tcPr>
            <w:tcW w:w="1159" w:type="dxa"/>
            <w:vMerge w:val="restart"/>
            <w:vAlign w:val="center"/>
          </w:tcPr>
          <w:p w14:paraId="7CE38FE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1AC1309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127" w:hRule="atLeast"/>
          <w:jc w:val="center"/>
        </w:trPr>
        <w:tc>
          <w:tcPr>
            <w:tcW w:w="594" w:type="dxa"/>
            <w:vMerge w:val="continue"/>
            <w:vAlign w:val="center"/>
          </w:tcPr>
          <w:p w14:paraId="5D1E0B55">
            <w:pPr>
              <w:keepNext w:val="0"/>
              <w:keepLines w:val="0"/>
              <w:pageBreakBefore w:val="0"/>
              <w:kinsoku/>
              <w:wordWrap/>
              <w:overflowPunct/>
              <w:topLinePunct w:val="0"/>
              <w:autoSpaceDE/>
              <w:autoSpaceDN/>
              <w:bidi w:val="0"/>
              <w:adjustRightInd/>
              <w:snapToGrid/>
              <w:spacing w:line="280" w:lineRule="exact"/>
              <w:ind w:left="0" w:firstLineChars="0"/>
              <w:jc w:val="center"/>
              <w:rPr>
                <w:rFonts w:hint="eastAsia" w:ascii="仿宋_GB2312" w:hAnsi="仿宋_GB2312" w:eastAsia="仿宋_GB2312" w:cs="仿宋_GB2312"/>
                <w:color w:val="auto"/>
                <w:szCs w:val="21"/>
              </w:rPr>
            </w:pPr>
          </w:p>
        </w:tc>
        <w:tc>
          <w:tcPr>
            <w:tcW w:w="1313" w:type="dxa"/>
            <w:vMerge w:val="continue"/>
            <w:vAlign w:val="center"/>
          </w:tcPr>
          <w:p w14:paraId="1E95395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648" w:type="dxa"/>
            <w:vAlign w:val="center"/>
          </w:tcPr>
          <w:p w14:paraId="7FA7886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出租汽车经营许可、年审</w:t>
            </w:r>
          </w:p>
        </w:tc>
        <w:tc>
          <w:tcPr>
            <w:tcW w:w="6525" w:type="dxa"/>
            <w:vMerge w:val="continue"/>
            <w:vAlign w:val="center"/>
          </w:tcPr>
          <w:p w14:paraId="1FC01BF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10" w:type="dxa"/>
            <w:vMerge w:val="continue"/>
            <w:vAlign w:val="center"/>
          </w:tcPr>
          <w:p w14:paraId="3179E7D1">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67" w:type="dxa"/>
            <w:vMerge w:val="continue"/>
            <w:vAlign w:val="center"/>
          </w:tcPr>
          <w:p w14:paraId="2948C3E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3" w:type="dxa"/>
            <w:vMerge w:val="continue"/>
            <w:vAlign w:val="center"/>
          </w:tcPr>
          <w:p w14:paraId="3E33984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65" w:type="dxa"/>
            <w:vMerge w:val="continue"/>
            <w:vAlign w:val="center"/>
          </w:tcPr>
          <w:p w14:paraId="178EEA0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9" w:type="dxa"/>
            <w:vMerge w:val="continue"/>
            <w:vAlign w:val="center"/>
          </w:tcPr>
          <w:p w14:paraId="001DFF5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3C12AB0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4360" w:hRule="atLeast"/>
          <w:jc w:val="center"/>
        </w:trPr>
        <w:tc>
          <w:tcPr>
            <w:tcW w:w="594" w:type="dxa"/>
            <w:vAlign w:val="center"/>
          </w:tcPr>
          <w:p w14:paraId="6B0BABA3">
            <w:pPr>
              <w:keepNext w:val="0"/>
              <w:keepLines w:val="0"/>
              <w:pageBreakBefore w:val="0"/>
              <w:numPr>
                <w:ilvl w:val="0"/>
                <w:numId w:val="1"/>
              </w:numPr>
              <w:kinsoku/>
              <w:wordWrap/>
              <w:overflowPunct/>
              <w:topLinePunct w:val="0"/>
              <w:autoSpaceDE/>
              <w:autoSpaceDN/>
              <w:bidi w:val="0"/>
              <w:adjustRightInd/>
              <w:snapToGrid/>
              <w:spacing w:line="280" w:lineRule="exact"/>
              <w:ind w:left="0" w:leftChars="0" w:firstLine="0" w:firstLineChars="0"/>
              <w:jc w:val="center"/>
              <w:rPr>
                <w:rFonts w:ascii="仿宋_GB2312" w:hAnsi="仿宋_GB2312" w:eastAsia="仿宋_GB2312" w:cs="仿宋_GB2312"/>
                <w:color w:val="auto"/>
                <w:szCs w:val="21"/>
              </w:rPr>
            </w:pPr>
          </w:p>
        </w:tc>
        <w:tc>
          <w:tcPr>
            <w:tcW w:w="1313" w:type="dxa"/>
            <w:vAlign w:val="center"/>
          </w:tcPr>
          <w:p w14:paraId="709A772B">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对航道通航条件影响评价报告编制</w:t>
            </w:r>
          </w:p>
        </w:tc>
        <w:tc>
          <w:tcPr>
            <w:tcW w:w="1648" w:type="dxa"/>
            <w:vAlign w:val="center"/>
          </w:tcPr>
          <w:p w14:paraId="7DAA086B">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与航道有关的工程建设项目对航道通航条件影响评价审核(I-Ⅴ级和跨省、市的Ⅵ级航道)</w:t>
            </w:r>
          </w:p>
        </w:tc>
        <w:tc>
          <w:tcPr>
            <w:tcW w:w="6525" w:type="dxa"/>
            <w:vAlign w:val="center"/>
          </w:tcPr>
          <w:p w14:paraId="129EF044">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《中华人民共和国航道法》第二十八条 建设与航道有关的工程，建设单位应当在工程可行性研究阶段就建设项目对航道通航条件的影响作出评价，并报送有审核权的交通运输主管部门或者航道管理机构审核，但下列工程除外：（一）临河、临湖的中小河流治理工程；（二）不通航河流上建设的水工程；（三）现有水工程的水毁修复、除险加固、不涉及通航建筑物和不改变航道原通航条件的更新改造等不影响航道通航条件的工程。建设单位报送的航道通航条件影响评价材料不符合本法规定的，可以进行补充或者修改，重新报送审核部门审核。未进行航道通航条件影响评价或者经审核部门审核认为建设项目不符合本法规定的，负责建设项目审批或者核准的部门不予批准、核准，建设单位不得建设。</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第二十九条 国务院或者国务院有关部门批准、核准的建设项目，以及与国务院交通运输主管部门直接管理的航道有关的建设项目的航道通航条件影响评价，由国务院交通运输主管部门审核；其他建设项目的航道通航条件影响评价，按照省、自治区、直辖市人民政府的规定由县级以上地方人民政府交通运输主管部门或者航道管理机构审核。</w:t>
            </w:r>
          </w:p>
        </w:tc>
        <w:tc>
          <w:tcPr>
            <w:tcW w:w="1110" w:type="dxa"/>
            <w:vAlign w:val="center"/>
          </w:tcPr>
          <w:p w14:paraId="48AF8EE0">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eastAsia="zh-CN" w:bidi="ar"/>
              </w:rPr>
              <w:t>梁子湖区</w:t>
            </w:r>
            <w:r>
              <w:rPr>
                <w:rFonts w:hint="eastAsia" w:ascii="仿宋_GB2312" w:hAnsi="仿宋_GB2312" w:eastAsia="仿宋_GB2312" w:cs="仿宋_GB2312"/>
                <w:color w:val="auto"/>
                <w:kern w:val="0"/>
                <w:szCs w:val="21"/>
                <w:lang w:bidi="ar"/>
              </w:rPr>
              <w:t>交通运输局</w:t>
            </w:r>
          </w:p>
        </w:tc>
        <w:tc>
          <w:tcPr>
            <w:tcW w:w="1367" w:type="dxa"/>
            <w:vAlign w:val="center"/>
          </w:tcPr>
          <w:p w14:paraId="08A94EB3">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具有资质的中介机构</w:t>
            </w:r>
          </w:p>
        </w:tc>
        <w:tc>
          <w:tcPr>
            <w:tcW w:w="1153" w:type="dxa"/>
            <w:vAlign w:val="center"/>
          </w:tcPr>
          <w:p w14:paraId="59A7BDAA">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Align w:val="center"/>
          </w:tcPr>
          <w:p w14:paraId="67E9F3B4">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b/>
                <w:bCs/>
                <w:color w:val="auto"/>
                <w:kern w:val="0"/>
                <w:sz w:val="21"/>
                <w:szCs w:val="21"/>
                <w:lang w:bidi="ar"/>
              </w:rPr>
            </w:pPr>
            <w:r>
              <w:rPr>
                <w:rFonts w:hint="eastAsia" w:ascii="仿宋_GB2312" w:hAnsi="仿宋_GB2312" w:eastAsia="仿宋_GB2312" w:cs="仿宋_GB2312"/>
                <w:color w:val="auto"/>
                <w:sz w:val="21"/>
                <w:szCs w:val="21"/>
              </w:rPr>
              <w:t>双方协商，合同约定</w:t>
            </w:r>
          </w:p>
        </w:tc>
        <w:tc>
          <w:tcPr>
            <w:tcW w:w="1159" w:type="dxa"/>
            <w:vAlign w:val="center"/>
          </w:tcPr>
          <w:p w14:paraId="04E19AF9">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申请人可按要求自行编制，也可委托有关机构编制</w:t>
            </w:r>
          </w:p>
        </w:tc>
      </w:tr>
      <w:tr w14:paraId="33A1BC7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735" w:hRule="atLeast"/>
          <w:jc w:val="center"/>
        </w:trPr>
        <w:tc>
          <w:tcPr>
            <w:tcW w:w="594" w:type="dxa"/>
            <w:vAlign w:val="center"/>
          </w:tcPr>
          <w:p w14:paraId="12410698">
            <w:pPr>
              <w:keepNext w:val="0"/>
              <w:keepLines w:val="0"/>
              <w:pageBreakBefore w:val="0"/>
              <w:numPr>
                <w:ilvl w:val="0"/>
                <w:numId w:val="1"/>
              </w:numPr>
              <w:kinsoku/>
              <w:wordWrap/>
              <w:overflowPunct/>
              <w:topLinePunct w:val="0"/>
              <w:autoSpaceDE/>
              <w:autoSpaceDN/>
              <w:bidi w:val="0"/>
              <w:adjustRightInd/>
              <w:snapToGrid/>
              <w:spacing w:line="280" w:lineRule="exact"/>
              <w:ind w:left="0" w:leftChars="0" w:firstLine="0" w:firstLineChars="0"/>
              <w:jc w:val="center"/>
              <w:rPr>
                <w:rFonts w:ascii="仿宋_GB2312" w:hAnsi="仿宋_GB2312" w:eastAsia="仿宋_GB2312" w:cs="仿宋_GB2312"/>
                <w:color w:val="auto"/>
                <w:szCs w:val="21"/>
              </w:rPr>
            </w:pPr>
          </w:p>
        </w:tc>
        <w:tc>
          <w:tcPr>
            <w:tcW w:w="1313" w:type="dxa"/>
            <w:vAlign w:val="center"/>
          </w:tcPr>
          <w:p w14:paraId="44332A7E">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水上水下活动通航安全评估报告编制</w:t>
            </w:r>
          </w:p>
        </w:tc>
        <w:tc>
          <w:tcPr>
            <w:tcW w:w="1648" w:type="dxa"/>
            <w:vAlign w:val="center"/>
          </w:tcPr>
          <w:p w14:paraId="161BC728">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在通航水域进行水上水下活动许可(在可供通航五百吨级及以下船舶的水域)</w:t>
            </w:r>
          </w:p>
        </w:tc>
        <w:tc>
          <w:tcPr>
            <w:tcW w:w="6525" w:type="dxa"/>
            <w:vAlign w:val="center"/>
          </w:tcPr>
          <w:p w14:paraId="4FD26084">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《中华人民共和国水上水下活动通航安全管理规定》(交通运输部令2019年第2号)</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第十九条 对通航安全可能构成重大影响的水上水下活动，海事管理机构应当在许可前组织专家对施工通航安全保障方案进行技术评审。</w:t>
            </w:r>
          </w:p>
        </w:tc>
        <w:tc>
          <w:tcPr>
            <w:tcW w:w="1110" w:type="dxa"/>
            <w:vAlign w:val="center"/>
          </w:tcPr>
          <w:p w14:paraId="33440AF5">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eastAsia="zh-CN" w:bidi="ar"/>
              </w:rPr>
              <w:t>梁子湖区</w:t>
            </w:r>
            <w:r>
              <w:rPr>
                <w:rFonts w:hint="eastAsia" w:ascii="仿宋_GB2312" w:hAnsi="仿宋_GB2312" w:eastAsia="仿宋_GB2312" w:cs="仿宋_GB2312"/>
                <w:color w:val="auto"/>
                <w:kern w:val="0"/>
                <w:szCs w:val="21"/>
                <w:lang w:bidi="ar"/>
              </w:rPr>
              <w:t>交通运输局</w:t>
            </w:r>
          </w:p>
        </w:tc>
        <w:tc>
          <w:tcPr>
            <w:tcW w:w="1367" w:type="dxa"/>
            <w:vAlign w:val="center"/>
          </w:tcPr>
          <w:p w14:paraId="2908097C">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具有资质的中介机构</w:t>
            </w:r>
          </w:p>
        </w:tc>
        <w:tc>
          <w:tcPr>
            <w:tcW w:w="1153" w:type="dxa"/>
            <w:vAlign w:val="center"/>
          </w:tcPr>
          <w:p w14:paraId="657E8615">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20个工作日</w:t>
            </w:r>
          </w:p>
        </w:tc>
        <w:tc>
          <w:tcPr>
            <w:tcW w:w="1165" w:type="dxa"/>
            <w:vAlign w:val="center"/>
          </w:tcPr>
          <w:p w14:paraId="4961984E">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sz w:val="21"/>
                <w:szCs w:val="21"/>
              </w:rPr>
              <w:t>双方协商，合同约定</w:t>
            </w:r>
          </w:p>
        </w:tc>
        <w:tc>
          <w:tcPr>
            <w:tcW w:w="1159" w:type="dxa"/>
            <w:vAlign w:val="center"/>
          </w:tcPr>
          <w:p w14:paraId="3F630DD3">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申请人可按要求自行编制，也可委托有关机构编制。</w:t>
            </w:r>
          </w:p>
        </w:tc>
      </w:tr>
      <w:tr w14:paraId="2C23F25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0" w:hRule="atLeast"/>
          <w:jc w:val="center"/>
        </w:trPr>
        <w:tc>
          <w:tcPr>
            <w:tcW w:w="594" w:type="dxa"/>
            <w:vAlign w:val="center"/>
          </w:tcPr>
          <w:p w14:paraId="3D6D9B5A">
            <w:pPr>
              <w:keepNext w:val="0"/>
              <w:keepLines w:val="0"/>
              <w:pageBreakBefore w:val="0"/>
              <w:numPr>
                <w:ilvl w:val="0"/>
                <w:numId w:val="1"/>
              </w:numPr>
              <w:kinsoku/>
              <w:wordWrap/>
              <w:overflowPunct/>
              <w:topLinePunct w:val="0"/>
              <w:autoSpaceDE/>
              <w:autoSpaceDN/>
              <w:bidi w:val="0"/>
              <w:adjustRightInd/>
              <w:snapToGrid/>
              <w:spacing w:line="280" w:lineRule="exact"/>
              <w:ind w:left="0" w:leftChars="0" w:firstLine="0" w:firstLineChars="0"/>
              <w:jc w:val="center"/>
              <w:rPr>
                <w:rFonts w:ascii="仿宋_GB2312" w:hAnsi="仿宋_GB2312" w:eastAsia="仿宋_GB2312" w:cs="仿宋_GB2312"/>
                <w:color w:val="auto"/>
                <w:szCs w:val="21"/>
              </w:rPr>
            </w:pPr>
          </w:p>
        </w:tc>
        <w:tc>
          <w:tcPr>
            <w:tcW w:w="1313" w:type="dxa"/>
            <w:vAlign w:val="center"/>
          </w:tcPr>
          <w:p w14:paraId="68521A62">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竣工决算审计报告</w:t>
            </w:r>
          </w:p>
        </w:tc>
        <w:tc>
          <w:tcPr>
            <w:tcW w:w="1648" w:type="dxa"/>
            <w:vAlign w:val="center"/>
          </w:tcPr>
          <w:p w14:paraId="0AECDCD5">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公路水运建设项目竣工验收</w:t>
            </w:r>
          </w:p>
        </w:tc>
        <w:tc>
          <w:tcPr>
            <w:tcW w:w="6525" w:type="dxa"/>
            <w:vAlign w:val="center"/>
          </w:tcPr>
          <w:p w14:paraId="6B4CB272">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 xml:space="preserve">港口工程建设管理规定(交通运输部令2018年第42号) 第四十九条 申请或者组织竣工验收前，项目单位应当组织编制竣工验收报告，竣工验收报告应当包括以下内容： </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 xml:space="preserve">（一）项目单位工作报告； </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 xml:space="preserve">（二）设计、施工、监理等单位的工作报告； </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 xml:space="preserve">（三）质量监督机构出具的交工质量核验意见； </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 xml:space="preserve">（四）试运行报告； </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 xml:space="preserve">（五）竣工决算报告（按照国家有关规定需要审计的，应当包括竣工决算审计报告）； </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（六）环境保护设施、安全设施、职业病防护设施、消防设施已按照有关部门规定通过验收或者备案的相关文件；</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公路工程竣交工验收办法实施细则（交公路发</w:t>
            </w:r>
            <w:r>
              <w:rPr>
                <w:rStyle w:val="13"/>
                <w:rFonts w:hint="eastAsia" w:hAnsi="仿宋_GB2312"/>
                <w:color w:val="auto"/>
                <w:sz w:val="21"/>
                <w:szCs w:val="21"/>
                <w:lang w:bidi="ar"/>
              </w:rPr>
              <w:t>〔</w:t>
            </w:r>
            <w:r>
              <w:rPr>
                <w:rFonts w:hint="eastAsia" w:ascii="仿宋_GB2312" w:hAnsi="仿宋_GB2312" w:eastAsia="仿宋_GB2312" w:cs="仿宋_GB2312"/>
                <w:color w:val="auto"/>
                <w:kern w:val="0"/>
                <w:szCs w:val="21"/>
                <w:lang w:bidi="ar"/>
              </w:rPr>
              <w:t>2010</w:t>
            </w:r>
            <w:r>
              <w:rPr>
                <w:rStyle w:val="13"/>
                <w:rFonts w:hint="eastAsia" w:hAnsi="仿宋_GB2312"/>
                <w:color w:val="auto"/>
                <w:sz w:val="21"/>
                <w:szCs w:val="21"/>
                <w:lang w:bidi="ar"/>
              </w:rPr>
              <w:t>〕</w:t>
            </w:r>
            <w:r>
              <w:rPr>
                <w:rFonts w:hint="eastAsia" w:ascii="仿宋_GB2312" w:hAnsi="仿宋_GB2312" w:eastAsia="仿宋_GB2312" w:cs="仿宋_GB2312"/>
                <w:color w:val="auto"/>
                <w:kern w:val="0"/>
                <w:szCs w:val="21"/>
                <w:lang w:bidi="ar"/>
              </w:rPr>
              <w:t>65号） 第十三条  公路工程竣工验收应具备以下条件：</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（一）通车试运营2年以上。</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（二）交工验收提出的工程质量缺陷等遗留问题已全部处理完毕，并经项目法人验收合格。</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（三）工程决算编制完成，竣工决算已经审计，并经交通运输主管部门或其授权单位认定。</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（四）竣工文件已完成“公路工程项目文件归档范围”的全部内容。</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（五）档案、环保等单项验收合格，土地使用手续已办理。</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（六）各参建单位完成工作总结报告。</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（七）质量监督机构对工程质量检测鉴定合格，并形成工程质量鉴定报告。</w:t>
            </w:r>
          </w:p>
        </w:tc>
        <w:tc>
          <w:tcPr>
            <w:tcW w:w="1110" w:type="dxa"/>
            <w:vAlign w:val="center"/>
          </w:tcPr>
          <w:p w14:paraId="1FF5EC39">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eastAsia="zh-CN" w:bidi="ar"/>
              </w:rPr>
              <w:t>梁子湖区</w:t>
            </w:r>
            <w:r>
              <w:rPr>
                <w:rFonts w:hint="eastAsia" w:ascii="仿宋_GB2312" w:hAnsi="仿宋_GB2312" w:eastAsia="仿宋_GB2312" w:cs="仿宋_GB2312"/>
                <w:color w:val="auto"/>
                <w:kern w:val="0"/>
                <w:szCs w:val="21"/>
                <w:lang w:bidi="ar"/>
              </w:rPr>
              <w:t>交通运输局</w:t>
            </w:r>
          </w:p>
        </w:tc>
        <w:tc>
          <w:tcPr>
            <w:tcW w:w="1367" w:type="dxa"/>
            <w:vAlign w:val="center"/>
          </w:tcPr>
          <w:p w14:paraId="7A560922">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具有相应资质的审计机构</w:t>
            </w:r>
          </w:p>
        </w:tc>
        <w:tc>
          <w:tcPr>
            <w:tcW w:w="1153" w:type="dxa"/>
            <w:vAlign w:val="center"/>
          </w:tcPr>
          <w:p w14:paraId="41D30C3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竣工前验收</w:t>
            </w:r>
          </w:p>
        </w:tc>
        <w:tc>
          <w:tcPr>
            <w:tcW w:w="1165" w:type="dxa"/>
            <w:vAlign w:val="center"/>
          </w:tcPr>
          <w:p w14:paraId="4360D59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vAlign w:val="center"/>
          </w:tcPr>
          <w:p w14:paraId="5894930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59BCC25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802" w:hRule="atLeast"/>
          <w:jc w:val="center"/>
        </w:trPr>
        <w:tc>
          <w:tcPr>
            <w:tcW w:w="594" w:type="dxa"/>
            <w:vMerge w:val="restart"/>
            <w:vAlign w:val="center"/>
          </w:tcPr>
          <w:p w14:paraId="2E74E64B">
            <w:pPr>
              <w:keepNext w:val="0"/>
              <w:keepLines w:val="0"/>
              <w:pageBreakBefore w:val="0"/>
              <w:numPr>
                <w:ilvl w:val="0"/>
                <w:numId w:val="1"/>
              </w:numPr>
              <w:kinsoku/>
              <w:wordWrap/>
              <w:overflowPunct/>
              <w:topLinePunct w:val="0"/>
              <w:autoSpaceDE/>
              <w:autoSpaceDN/>
              <w:bidi w:val="0"/>
              <w:adjustRightInd/>
              <w:snapToGrid/>
              <w:spacing w:line="280" w:lineRule="exact"/>
              <w:ind w:left="0" w:leftChars="0" w:firstLine="0" w:firstLineChars="0"/>
              <w:jc w:val="center"/>
              <w:rPr>
                <w:rFonts w:ascii="仿宋_GB2312" w:hAnsi="仿宋_GB2312" w:eastAsia="仿宋_GB2312" w:cs="仿宋_GB2312"/>
                <w:color w:val="auto"/>
                <w:szCs w:val="21"/>
              </w:rPr>
            </w:pPr>
          </w:p>
        </w:tc>
        <w:tc>
          <w:tcPr>
            <w:tcW w:w="1313" w:type="dxa"/>
            <w:vMerge w:val="restart"/>
            <w:vAlign w:val="center"/>
          </w:tcPr>
          <w:p w14:paraId="197CD20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水利基础设施建设项目初步设计报告编制</w:t>
            </w:r>
          </w:p>
        </w:tc>
        <w:tc>
          <w:tcPr>
            <w:tcW w:w="1648" w:type="dxa"/>
            <w:vAlign w:val="center"/>
          </w:tcPr>
          <w:p w14:paraId="1B1E081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水利基建项目初步设计审批</w:t>
            </w:r>
          </w:p>
        </w:tc>
        <w:tc>
          <w:tcPr>
            <w:tcW w:w="6525" w:type="dxa"/>
            <w:vMerge w:val="restart"/>
            <w:vAlign w:val="center"/>
          </w:tcPr>
          <w:p w14:paraId="330BC06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《水利基本建设投资计划管理暂行办法》第十四条 水利基本建设项目前期工作阶段报批程序一般包括项目建议书、可行性研究报告、初步设计报告、开工报告的上报、审核和审批。 </w:t>
            </w:r>
          </w:p>
          <w:p w14:paraId="72CBDC0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《水利工程建设程序管理暂行规定》（2019修正）（水利部令第49号）第七条第一款 初步设计任务应择优选择有项目相应资格的设计单位承担，依照有关初步设计编制规定进行编制。</w:t>
            </w:r>
          </w:p>
        </w:tc>
        <w:tc>
          <w:tcPr>
            <w:tcW w:w="1110" w:type="dxa"/>
            <w:vMerge w:val="restart"/>
            <w:vAlign w:val="center"/>
          </w:tcPr>
          <w:p w14:paraId="779749D8">
            <w:pPr>
              <w:keepNext w:val="0"/>
              <w:keepLines w:val="0"/>
              <w:pageBreakBefore w:val="0"/>
              <w:kinsoku/>
              <w:wordWrap/>
              <w:overflowPunct/>
              <w:topLinePunct w:val="0"/>
              <w:autoSpaceDE/>
              <w:autoSpaceDN/>
              <w:bidi w:val="0"/>
              <w:adjustRightInd/>
              <w:snapToGrid/>
              <w:spacing w:line="280" w:lineRule="exact"/>
              <w:ind w:left="0" w:leftChars="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梁子湖区农业农村局</w:t>
            </w:r>
          </w:p>
        </w:tc>
        <w:tc>
          <w:tcPr>
            <w:tcW w:w="1367" w:type="dxa"/>
            <w:vMerge w:val="restart"/>
            <w:vAlign w:val="center"/>
          </w:tcPr>
          <w:p w14:paraId="34AB580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具有相应资质的勘测设计单位</w:t>
            </w:r>
          </w:p>
        </w:tc>
        <w:tc>
          <w:tcPr>
            <w:tcW w:w="1153" w:type="dxa"/>
            <w:vMerge w:val="restart"/>
            <w:vAlign w:val="center"/>
          </w:tcPr>
          <w:p w14:paraId="7AF159D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Merge w:val="restart"/>
            <w:vAlign w:val="center"/>
          </w:tcPr>
          <w:p w14:paraId="333831E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vMerge w:val="restart"/>
            <w:vAlign w:val="center"/>
          </w:tcPr>
          <w:p w14:paraId="5A24FE7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43C62CE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73" w:hRule="atLeast"/>
          <w:jc w:val="center"/>
        </w:trPr>
        <w:tc>
          <w:tcPr>
            <w:tcW w:w="594" w:type="dxa"/>
            <w:vMerge w:val="continue"/>
            <w:vAlign w:val="center"/>
          </w:tcPr>
          <w:p w14:paraId="6A210C42">
            <w:pPr>
              <w:keepNext w:val="0"/>
              <w:keepLines w:val="0"/>
              <w:pageBreakBefore w:val="0"/>
              <w:kinsoku/>
              <w:wordWrap/>
              <w:overflowPunct/>
              <w:topLinePunct w:val="0"/>
              <w:autoSpaceDE/>
              <w:autoSpaceDN/>
              <w:bidi w:val="0"/>
              <w:adjustRightInd/>
              <w:snapToGrid/>
              <w:spacing w:line="280" w:lineRule="exact"/>
              <w:ind w:left="0" w:firstLineChars="0"/>
              <w:jc w:val="center"/>
            </w:pPr>
          </w:p>
        </w:tc>
        <w:tc>
          <w:tcPr>
            <w:tcW w:w="1313" w:type="dxa"/>
            <w:vMerge w:val="continue"/>
            <w:vAlign w:val="center"/>
          </w:tcPr>
          <w:p w14:paraId="21782487">
            <w:pPr>
              <w:keepNext w:val="0"/>
              <w:keepLines w:val="0"/>
              <w:pageBreakBefore w:val="0"/>
              <w:kinsoku/>
              <w:wordWrap/>
              <w:overflowPunct/>
              <w:topLinePunct w:val="0"/>
              <w:autoSpaceDE/>
              <w:autoSpaceDN/>
              <w:bidi w:val="0"/>
              <w:adjustRightInd/>
              <w:snapToGrid/>
              <w:spacing w:line="280" w:lineRule="exact"/>
              <w:ind w:left="0"/>
            </w:pPr>
          </w:p>
        </w:tc>
        <w:tc>
          <w:tcPr>
            <w:tcW w:w="1648" w:type="dxa"/>
            <w:vAlign w:val="center"/>
          </w:tcPr>
          <w:p w14:paraId="536C744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szCs w:val="21"/>
                <w:highlight w:val="none"/>
              </w:rPr>
              <w:t>中型灌区节水配套改造项目初步设计、设计变更的审查批复</w:t>
            </w:r>
          </w:p>
        </w:tc>
        <w:tc>
          <w:tcPr>
            <w:tcW w:w="6525" w:type="dxa"/>
            <w:vMerge w:val="continue"/>
            <w:vAlign w:val="center"/>
          </w:tcPr>
          <w:p w14:paraId="7F4CAB1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10" w:type="dxa"/>
            <w:vMerge w:val="continue"/>
            <w:vAlign w:val="center"/>
          </w:tcPr>
          <w:p w14:paraId="51F386E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367" w:type="dxa"/>
            <w:vMerge w:val="continue"/>
            <w:vAlign w:val="center"/>
          </w:tcPr>
          <w:p w14:paraId="542919C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3" w:type="dxa"/>
            <w:vMerge w:val="continue"/>
            <w:vAlign w:val="center"/>
          </w:tcPr>
          <w:p w14:paraId="596F41F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65" w:type="dxa"/>
            <w:vMerge w:val="continue"/>
            <w:vAlign w:val="center"/>
          </w:tcPr>
          <w:p w14:paraId="628E756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9" w:type="dxa"/>
            <w:vMerge w:val="continue"/>
            <w:vAlign w:val="center"/>
          </w:tcPr>
          <w:p w14:paraId="0812113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2762C8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0" w:hRule="atLeast"/>
          <w:jc w:val="center"/>
        </w:trPr>
        <w:tc>
          <w:tcPr>
            <w:tcW w:w="594" w:type="dxa"/>
            <w:vAlign w:val="center"/>
          </w:tcPr>
          <w:p w14:paraId="4221564F">
            <w:pPr>
              <w:keepNext w:val="0"/>
              <w:keepLines w:val="0"/>
              <w:pageBreakBefore w:val="0"/>
              <w:numPr>
                <w:ilvl w:val="0"/>
                <w:numId w:val="1"/>
              </w:numPr>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Cs w:val="21"/>
                <w:lang w:eastAsia="zh-CN"/>
              </w:rPr>
            </w:pPr>
          </w:p>
        </w:tc>
        <w:tc>
          <w:tcPr>
            <w:tcW w:w="1313" w:type="dxa"/>
            <w:vAlign w:val="center"/>
          </w:tcPr>
          <w:p w14:paraId="6DB91DF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Style w:val="11"/>
                <w:rFonts w:ascii="仿宋_GB2312" w:hAnsi="仿宋_GB2312" w:eastAsia="仿宋_GB2312"/>
                <w:color w:val="auto"/>
                <w:szCs w:val="21"/>
              </w:rPr>
              <w:t>生产建设项目水土保持方案编制</w:t>
            </w:r>
          </w:p>
        </w:tc>
        <w:tc>
          <w:tcPr>
            <w:tcW w:w="1648" w:type="dxa"/>
            <w:vAlign w:val="center"/>
          </w:tcPr>
          <w:p w14:paraId="25F50CD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Style w:val="11"/>
                <w:rFonts w:ascii="仿宋_GB2312" w:hAnsi="仿宋_GB2312" w:eastAsia="仿宋_GB2312"/>
                <w:color w:val="auto"/>
                <w:szCs w:val="21"/>
              </w:rPr>
              <w:t>生产建设项目水土保持方案审批</w:t>
            </w:r>
          </w:p>
        </w:tc>
        <w:tc>
          <w:tcPr>
            <w:tcW w:w="6525" w:type="dxa"/>
            <w:vAlign w:val="center"/>
          </w:tcPr>
          <w:p w14:paraId="17D3D48E">
            <w:pPr>
              <w:keepNext w:val="0"/>
              <w:keepLines w:val="0"/>
              <w:pageBreakBefore w:val="0"/>
              <w:kinsoku/>
              <w:wordWrap/>
              <w:overflowPunct/>
              <w:topLinePunct w:val="0"/>
              <w:autoSpaceDE/>
              <w:autoSpaceDN/>
              <w:bidi w:val="0"/>
              <w:adjustRightInd/>
              <w:snapToGrid/>
              <w:spacing w:line="280" w:lineRule="exact"/>
              <w:ind w:left="0" w:firstLine="210" w:firstLineChars="100"/>
              <w:rPr>
                <w:rStyle w:val="11"/>
                <w:rFonts w:hint="eastAsia" w:ascii="仿宋_GB2312" w:hAnsi="仿宋_GB2312" w:eastAsia="仿宋_GB2312"/>
                <w:color w:val="auto"/>
                <w:szCs w:val="21"/>
              </w:rPr>
            </w:pPr>
            <w:r>
              <w:rPr>
                <w:rStyle w:val="11"/>
                <w:rFonts w:ascii="仿宋_GB2312" w:hAnsi="仿宋_GB2312" w:eastAsia="仿宋_GB2312"/>
                <w:color w:val="auto"/>
                <w:szCs w:val="21"/>
              </w:rPr>
              <w:t>《</w:t>
            </w:r>
            <w:r>
              <w:rPr>
                <w:rStyle w:val="11"/>
                <w:rFonts w:hint="eastAsia" w:ascii="仿宋_GB2312" w:hAnsi="仿宋_GB2312" w:eastAsia="仿宋_GB2312"/>
                <w:color w:val="auto"/>
                <w:szCs w:val="21"/>
              </w:rPr>
              <w:t>中华人民共和国</w:t>
            </w:r>
            <w:r>
              <w:rPr>
                <w:rStyle w:val="11"/>
                <w:rFonts w:ascii="仿宋_GB2312" w:hAnsi="仿宋_GB2312" w:eastAsia="仿宋_GB2312"/>
                <w:color w:val="auto"/>
                <w:szCs w:val="21"/>
              </w:rPr>
              <w:t>水土保持法》第二十五条第一款 在山区、丘陵区、风沙区以及水土保持规划确定的容易发生水土流失的其他区域开办可能造成水土流失的生产建设项目，应当编制水土保持方案，采取水土流失预防和治理措施。没有能力编制水土保持方案的，应当委托具备相应技术条件的机构编制。第三款 水土保持方案经批准后，生产建设项目的地点、规模发生重大变化的，应当补充或者修改水土保持方案并报原审批机关批准。水土保持方案实施过程中，水土保持措施需要作出重大变更的，经原审批机关批准</w:t>
            </w:r>
            <w:r>
              <w:rPr>
                <w:rStyle w:val="11"/>
                <w:rFonts w:hint="eastAsia" w:ascii="仿宋_GB2312" w:hAnsi="仿宋_GB2312" w:eastAsia="仿宋_GB2312"/>
                <w:color w:val="auto"/>
                <w:szCs w:val="21"/>
              </w:rPr>
              <w:t>；</w:t>
            </w:r>
          </w:p>
          <w:p w14:paraId="186B0740">
            <w:pPr>
              <w:keepNext w:val="0"/>
              <w:keepLines w:val="0"/>
              <w:pageBreakBefore w:val="0"/>
              <w:kinsoku/>
              <w:wordWrap/>
              <w:overflowPunct/>
              <w:topLinePunct w:val="0"/>
              <w:autoSpaceDE/>
              <w:autoSpaceDN/>
              <w:bidi w:val="0"/>
              <w:adjustRightInd/>
              <w:snapToGrid/>
              <w:spacing w:line="280" w:lineRule="exact"/>
              <w:ind w:left="0" w:firstLine="210" w:firstLineChars="100"/>
              <w:rPr>
                <w:rStyle w:val="11"/>
                <w:rFonts w:hint="eastAsia" w:ascii="仿宋_GB2312" w:hAnsi="仿宋_GB2312" w:eastAsia="仿宋_GB2312"/>
                <w:color w:val="auto"/>
                <w:szCs w:val="21"/>
              </w:rPr>
            </w:pPr>
            <w:r>
              <w:rPr>
                <w:rStyle w:val="11"/>
                <w:rFonts w:hint="eastAsia" w:ascii="仿宋_GB2312" w:hAnsi="仿宋_GB2312" w:eastAsia="仿宋_GB2312"/>
                <w:color w:val="auto"/>
                <w:szCs w:val="21"/>
              </w:rPr>
              <w:t>《水利部关于进一步深化放管服改革全面加强水土保持监管的意见》（水保[2019]160号）第二条第一项 征占地面积在5公顷以上或者挖填土石方总量在5万立方米以上的生产建设项目（以下简称项目）应当编制水土保持方案报告书，征占地面积在0.5公顷以上5公顷以下或者挖填土石方总量在1千立方米以上5万立方米以下的项目编制水土保持方案报告表。水土保持方案报告书和报告表应当在项目开工前报水行政主管部门（或者地方人民政府确定的其他水土保持方案审批部门，以下简称其他审批部门）审批，其中对水土保持方案报告表实行承诺制管理。</w:t>
            </w:r>
          </w:p>
          <w:p w14:paraId="70F97B72">
            <w:pPr>
              <w:keepNext w:val="0"/>
              <w:keepLines w:val="0"/>
              <w:pageBreakBefore w:val="0"/>
              <w:kinsoku/>
              <w:wordWrap/>
              <w:overflowPunct/>
              <w:topLinePunct w:val="0"/>
              <w:autoSpaceDE/>
              <w:autoSpaceDN/>
              <w:bidi w:val="0"/>
              <w:adjustRightInd/>
              <w:snapToGrid/>
              <w:spacing w:line="280" w:lineRule="exact"/>
              <w:ind w:left="0" w:firstLine="210" w:firstLineChars="100"/>
              <w:rPr>
                <w:rFonts w:hint="eastAsia" w:ascii="仿宋_GB2312" w:hAnsi="仿宋_GB2312" w:eastAsia="仿宋_GB2312" w:cs="仿宋_GB2312"/>
                <w:color w:val="auto"/>
                <w:szCs w:val="21"/>
              </w:rPr>
            </w:pPr>
            <w:r>
              <w:rPr>
                <w:rStyle w:val="11"/>
                <w:rFonts w:hint="eastAsia" w:ascii="仿宋_GB2312" w:hAnsi="仿宋_GB2312" w:eastAsia="仿宋_GB2312"/>
                <w:color w:val="auto"/>
                <w:szCs w:val="21"/>
              </w:rPr>
              <w:t>《湖北省实施〈中华人民共和国水土保持法〉办法》第十二条第二款规定：生产建设单位在编制水土保持方案时，应当按照国家和省规定的征占地面积、挖填土石方总量等标准相应编制水土保持方案报告书、报告表、登记表。报告书、报告表应当按照生产建设项目立项权限报同级人民政府水行政主管部门批准；登记表报项目所在地县级人民政府水行政主管部门备案。生产建设单位在报送环境影响评价文件时，应当同时报送水行政主管部门批准的水土保持方案。</w:t>
            </w:r>
          </w:p>
        </w:tc>
        <w:tc>
          <w:tcPr>
            <w:tcW w:w="1110" w:type="dxa"/>
            <w:vAlign w:val="center"/>
          </w:tcPr>
          <w:p w14:paraId="6CD56089">
            <w:pPr>
              <w:keepNext w:val="0"/>
              <w:keepLines w:val="0"/>
              <w:pageBreakBefore w:val="0"/>
              <w:kinsoku/>
              <w:wordWrap/>
              <w:overflowPunct/>
              <w:topLinePunct w:val="0"/>
              <w:autoSpaceDE/>
              <w:autoSpaceDN/>
              <w:bidi w:val="0"/>
              <w:adjustRightInd/>
              <w:snapToGrid/>
              <w:spacing w:line="280" w:lineRule="exact"/>
              <w:ind w:left="0" w:leftChars="0"/>
              <w:jc w:val="center"/>
              <w:rPr>
                <w:rFonts w:hint="eastAsia" w:ascii="仿宋_GB2312" w:hAnsi="仿宋_GB2312" w:eastAsia="仿宋_GB2312" w:cs="仿宋_GB2312"/>
                <w:color w:val="auto"/>
                <w:szCs w:val="21"/>
              </w:rPr>
            </w:pPr>
            <w:r>
              <w:rPr>
                <w:rStyle w:val="11"/>
                <w:rFonts w:hint="eastAsia" w:ascii="仿宋_GB2312" w:hAnsi="仿宋_GB2312" w:eastAsia="仿宋_GB2312"/>
                <w:color w:val="auto"/>
                <w:szCs w:val="21"/>
                <w:lang w:eastAsia="zh-CN"/>
              </w:rPr>
              <w:t>梁子湖区农业农村局</w:t>
            </w:r>
          </w:p>
        </w:tc>
        <w:tc>
          <w:tcPr>
            <w:tcW w:w="1367" w:type="dxa"/>
            <w:vAlign w:val="center"/>
          </w:tcPr>
          <w:p w14:paraId="4D2BDEB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Style w:val="11"/>
                <w:rFonts w:hint="eastAsia" w:ascii="仿宋_GB2312" w:hAnsi="仿宋_GB2312" w:eastAsia="仿宋_GB2312"/>
                <w:color w:val="auto"/>
                <w:szCs w:val="21"/>
              </w:rPr>
              <w:t>具有相应能力的中介机构</w:t>
            </w:r>
          </w:p>
        </w:tc>
        <w:tc>
          <w:tcPr>
            <w:tcW w:w="1153" w:type="dxa"/>
            <w:vAlign w:val="center"/>
          </w:tcPr>
          <w:p w14:paraId="29E8E09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Align w:val="center"/>
          </w:tcPr>
          <w:p w14:paraId="5304757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b/>
                <w:bCs/>
                <w:color w:val="auto"/>
                <w:sz w:val="21"/>
                <w:szCs w:val="21"/>
              </w:rPr>
            </w:pPr>
            <w:r>
              <w:rPr>
                <w:rFonts w:hint="eastAsia" w:ascii="仿宋_GB2312" w:hAnsi="仿宋_GB2312" w:eastAsia="仿宋_GB2312" w:cs="仿宋_GB2312"/>
                <w:color w:val="auto"/>
                <w:sz w:val="21"/>
                <w:szCs w:val="21"/>
              </w:rPr>
              <w:t>双方协商，合同约定</w:t>
            </w:r>
          </w:p>
        </w:tc>
        <w:tc>
          <w:tcPr>
            <w:tcW w:w="1159" w:type="dxa"/>
            <w:vAlign w:val="center"/>
          </w:tcPr>
          <w:p w14:paraId="149EE75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45BE5DA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795" w:hRule="atLeast"/>
          <w:jc w:val="center"/>
        </w:trPr>
        <w:tc>
          <w:tcPr>
            <w:tcW w:w="594" w:type="dxa"/>
            <w:vMerge w:val="restart"/>
            <w:vAlign w:val="center"/>
          </w:tcPr>
          <w:p w14:paraId="59BC22E6">
            <w:pPr>
              <w:keepNext w:val="0"/>
              <w:keepLines w:val="0"/>
              <w:pageBreakBefore w:val="0"/>
              <w:numPr>
                <w:ilvl w:val="0"/>
                <w:numId w:val="1"/>
              </w:numPr>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Cs w:val="21"/>
                <w:lang w:eastAsia="zh-CN"/>
              </w:rPr>
            </w:pPr>
          </w:p>
        </w:tc>
        <w:tc>
          <w:tcPr>
            <w:tcW w:w="1313" w:type="dxa"/>
            <w:vMerge w:val="restart"/>
            <w:vAlign w:val="center"/>
          </w:tcPr>
          <w:p w14:paraId="55617E1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Style w:val="11"/>
                <w:rFonts w:ascii="仿宋_GB2312" w:hAnsi="仿宋_GB2312" w:eastAsia="仿宋_GB2312"/>
                <w:color w:val="auto"/>
                <w:szCs w:val="21"/>
              </w:rPr>
              <w:t>洪水影响评价报告编制</w:t>
            </w:r>
          </w:p>
        </w:tc>
        <w:tc>
          <w:tcPr>
            <w:tcW w:w="1648" w:type="dxa"/>
            <w:vAlign w:val="center"/>
          </w:tcPr>
          <w:p w14:paraId="49E96AE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Style w:val="11"/>
                <w:rFonts w:ascii="仿宋_GB2312" w:hAnsi="仿宋_GB2312" w:eastAsia="仿宋_GB2312"/>
                <w:color w:val="auto"/>
                <w:szCs w:val="21"/>
              </w:rPr>
              <w:t>非防洪建设项目洪水影响评价报告审批</w:t>
            </w:r>
          </w:p>
        </w:tc>
        <w:tc>
          <w:tcPr>
            <w:tcW w:w="6525" w:type="dxa"/>
            <w:vMerge w:val="restart"/>
            <w:vAlign w:val="center"/>
          </w:tcPr>
          <w:p w14:paraId="3FFFE2C4">
            <w:pPr>
              <w:keepNext w:val="0"/>
              <w:keepLines w:val="0"/>
              <w:pageBreakBefore w:val="0"/>
              <w:kinsoku/>
              <w:wordWrap/>
              <w:overflowPunct/>
              <w:topLinePunct w:val="0"/>
              <w:autoSpaceDE/>
              <w:autoSpaceDN/>
              <w:bidi w:val="0"/>
              <w:adjustRightInd/>
              <w:snapToGrid/>
              <w:spacing w:line="280" w:lineRule="exact"/>
              <w:ind w:left="0"/>
              <w:rPr>
                <w:rStyle w:val="11"/>
                <w:rFonts w:ascii="仿宋_GB2312" w:hAnsi="仿宋_GB2312" w:eastAsia="仿宋_GB2312"/>
                <w:color w:val="auto"/>
                <w:szCs w:val="21"/>
              </w:rPr>
            </w:pPr>
            <w:r>
              <w:rPr>
                <w:rStyle w:val="11"/>
                <w:rFonts w:ascii="仿宋_GB2312" w:hAnsi="仿宋_GB2312" w:eastAsia="仿宋_GB2312"/>
                <w:color w:val="auto"/>
                <w:szCs w:val="21"/>
              </w:rPr>
              <w:t>《中华人民共和国防洪法》第三十三条 第一款 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第二款 在蓄滞洪区内建设的油田、铁路、公路、矿山、电厂、电信设施和管道，其洪水影响评价报告应当包括建设单位自行安排的防洪避洪方案。建设项目投入生产或者使用时，其防洪工程设施应当经水行政主管部门验收。</w:t>
            </w:r>
          </w:p>
          <w:p w14:paraId="54EBBBC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第三十四条 城市建设不得擅自填堵原有河道沟叉、贮水湖塘洼淀和废除原有防洪围堤。确需填堵或者废除的，应当经城市人民政府批准。</w:t>
            </w:r>
          </w:p>
          <w:p w14:paraId="64551AC1">
            <w:pPr>
              <w:keepNext w:val="0"/>
              <w:keepLines w:val="0"/>
              <w:pageBreakBefore w:val="0"/>
              <w:kinsoku/>
              <w:wordWrap/>
              <w:overflowPunct/>
              <w:topLinePunct w:val="0"/>
              <w:autoSpaceDE/>
              <w:autoSpaceDN/>
              <w:bidi w:val="0"/>
              <w:adjustRightInd/>
              <w:snapToGrid/>
              <w:spacing w:line="280" w:lineRule="exact"/>
              <w:ind w:left="0"/>
              <w:rPr>
                <w:rStyle w:val="11"/>
                <w:rFonts w:ascii="仿宋_GB2312" w:hAnsi="仿宋_GB2312" w:eastAsia="仿宋_GB2312"/>
                <w:color w:val="auto"/>
                <w:szCs w:val="21"/>
              </w:rPr>
            </w:pPr>
            <w:r>
              <w:rPr>
                <w:rStyle w:val="11"/>
                <w:rFonts w:ascii="仿宋_GB2312" w:hAnsi="仿宋_GB2312" w:eastAsia="仿宋_GB2312"/>
                <w:color w:val="auto"/>
                <w:szCs w:val="21"/>
              </w:rPr>
              <w:t>第二十七条第一款 建设跨河、穿河、穿堤、临河的桥梁、码头、道路、渡口、管道、缆线、取水、排水等工程设施，应当符合防洪标准、岸线规划、航运要求和其他技术要求，不得危害堤防安全、影响河势稳定、妨碍行洪通畅；其工程建设方案未经有关水行政主管部门根据前述防洪要求审查同意的，建设单位不得开工建设。第二款 前款工程设施需要占用河道、湖泊管理范围内土地，跨越河道、湖泊空间或者穿越河床的，建设单位应当经有关水行政主管部门对该工程设施建设的位置和界限审查批准后，方可依法办理开工手续。</w:t>
            </w:r>
          </w:p>
          <w:p w14:paraId="2B397C6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Style w:val="11"/>
                <w:rFonts w:ascii="仿宋_GB2312" w:hAnsi="仿宋_GB2312" w:eastAsia="仿宋_GB2312"/>
                <w:color w:val="auto"/>
                <w:szCs w:val="21"/>
              </w:rPr>
              <w:t>《中华人民共和国河道管理条例》第十一条 修建开发水利、防治水害、整治河道的各类工程和跨河、穿河、穿堤、临河的桥梁、码头、道路、渡口、管道、缆线等建筑物及设施，建设单位必须按照河道管理权限，将工程建设方案报送河道主管机关审查同意。未经河道主管机关审查同意的，建设单位不得开工建设。</w:t>
            </w:r>
          </w:p>
        </w:tc>
        <w:tc>
          <w:tcPr>
            <w:tcW w:w="1110" w:type="dxa"/>
            <w:vMerge w:val="restart"/>
            <w:vAlign w:val="center"/>
          </w:tcPr>
          <w:p w14:paraId="7266C000">
            <w:pPr>
              <w:keepNext w:val="0"/>
              <w:keepLines w:val="0"/>
              <w:pageBreakBefore w:val="0"/>
              <w:kinsoku/>
              <w:wordWrap/>
              <w:overflowPunct/>
              <w:topLinePunct w:val="0"/>
              <w:autoSpaceDE/>
              <w:autoSpaceDN/>
              <w:bidi w:val="0"/>
              <w:adjustRightInd/>
              <w:snapToGrid/>
              <w:spacing w:line="280" w:lineRule="exact"/>
              <w:ind w:left="0" w:leftChars="0"/>
              <w:jc w:val="center"/>
              <w:rPr>
                <w:rFonts w:hint="eastAsia" w:ascii="仿宋_GB2312" w:hAnsi="仿宋_GB2312" w:eastAsia="仿宋_GB2312" w:cs="仿宋_GB2312"/>
                <w:color w:val="auto"/>
                <w:szCs w:val="21"/>
              </w:rPr>
            </w:pPr>
            <w:r>
              <w:rPr>
                <w:rStyle w:val="11"/>
                <w:rFonts w:hint="eastAsia" w:ascii="仿宋_GB2312" w:hAnsi="仿宋_GB2312" w:eastAsia="仿宋_GB2312"/>
                <w:color w:val="auto"/>
                <w:szCs w:val="21"/>
                <w:lang w:eastAsia="zh-CN"/>
              </w:rPr>
              <w:t>梁子湖区农业农村局</w:t>
            </w:r>
          </w:p>
        </w:tc>
        <w:tc>
          <w:tcPr>
            <w:tcW w:w="1367" w:type="dxa"/>
            <w:vMerge w:val="restart"/>
            <w:vAlign w:val="center"/>
          </w:tcPr>
          <w:p w14:paraId="33F75AB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Style w:val="11"/>
                <w:rFonts w:hint="eastAsia" w:ascii="仿宋_GB2312" w:hAnsi="仿宋_GB2312" w:eastAsia="仿宋_GB2312"/>
                <w:color w:val="auto"/>
                <w:szCs w:val="21"/>
              </w:rPr>
              <w:t>具有相应能力的中介机构</w:t>
            </w:r>
          </w:p>
        </w:tc>
        <w:tc>
          <w:tcPr>
            <w:tcW w:w="1153" w:type="dxa"/>
            <w:vMerge w:val="restart"/>
            <w:vAlign w:val="center"/>
          </w:tcPr>
          <w:p w14:paraId="162A215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Merge w:val="restart"/>
            <w:vAlign w:val="center"/>
          </w:tcPr>
          <w:p w14:paraId="6C27FA3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vMerge w:val="restart"/>
            <w:vAlign w:val="center"/>
          </w:tcPr>
          <w:p w14:paraId="0027FEF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14B4F1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2725" w:hRule="atLeast"/>
          <w:jc w:val="center"/>
        </w:trPr>
        <w:tc>
          <w:tcPr>
            <w:tcW w:w="594" w:type="dxa"/>
            <w:vMerge w:val="continue"/>
            <w:vAlign w:val="center"/>
          </w:tcPr>
          <w:p w14:paraId="2D8D150B">
            <w:pPr>
              <w:keepNext w:val="0"/>
              <w:keepLines w:val="0"/>
              <w:pageBreakBefore w:val="0"/>
              <w:kinsoku/>
              <w:wordWrap/>
              <w:overflowPunct/>
              <w:topLinePunct w:val="0"/>
              <w:autoSpaceDE/>
              <w:autoSpaceDN/>
              <w:bidi w:val="0"/>
              <w:adjustRightInd/>
              <w:snapToGrid/>
              <w:spacing w:line="280" w:lineRule="exact"/>
              <w:ind w:left="0" w:firstLineChars="0"/>
              <w:jc w:val="center"/>
              <w:rPr>
                <w:rFonts w:hint="eastAsia" w:ascii="仿宋_GB2312" w:hAnsi="仿宋_GB2312" w:eastAsia="仿宋_GB2312" w:cs="仿宋_GB2312"/>
                <w:color w:val="auto"/>
                <w:szCs w:val="21"/>
              </w:rPr>
            </w:pPr>
          </w:p>
        </w:tc>
        <w:tc>
          <w:tcPr>
            <w:tcW w:w="1313" w:type="dxa"/>
            <w:vMerge w:val="continue"/>
            <w:vAlign w:val="center"/>
          </w:tcPr>
          <w:p w14:paraId="4970D363">
            <w:pPr>
              <w:keepNext w:val="0"/>
              <w:keepLines w:val="0"/>
              <w:pageBreakBefore w:val="0"/>
              <w:kinsoku/>
              <w:wordWrap/>
              <w:overflowPunct/>
              <w:topLinePunct w:val="0"/>
              <w:autoSpaceDE/>
              <w:autoSpaceDN/>
              <w:bidi w:val="0"/>
              <w:adjustRightInd/>
              <w:snapToGrid/>
              <w:spacing w:line="280" w:lineRule="exact"/>
              <w:ind w:left="0"/>
              <w:rPr>
                <w:rStyle w:val="11"/>
                <w:rFonts w:ascii="仿宋_GB2312" w:hAnsi="仿宋_GB2312" w:eastAsia="仿宋_GB2312"/>
                <w:color w:val="auto"/>
                <w:szCs w:val="21"/>
              </w:rPr>
            </w:pPr>
          </w:p>
        </w:tc>
        <w:tc>
          <w:tcPr>
            <w:tcW w:w="1648" w:type="dxa"/>
            <w:vAlign w:val="center"/>
          </w:tcPr>
          <w:p w14:paraId="6CF9B650">
            <w:pPr>
              <w:keepNext w:val="0"/>
              <w:keepLines w:val="0"/>
              <w:pageBreakBefore w:val="0"/>
              <w:kinsoku/>
              <w:wordWrap/>
              <w:overflowPunct/>
              <w:topLinePunct w:val="0"/>
              <w:autoSpaceDE/>
              <w:autoSpaceDN/>
              <w:bidi w:val="0"/>
              <w:adjustRightInd/>
              <w:snapToGrid/>
              <w:spacing w:line="280" w:lineRule="exact"/>
              <w:ind w:left="0"/>
              <w:jc w:val="center"/>
              <w:rPr>
                <w:rStyle w:val="11"/>
                <w:rFonts w:ascii="仿宋_GB2312" w:hAnsi="仿宋_GB2312" w:eastAsia="仿宋_GB2312"/>
                <w:color w:val="auto"/>
                <w:szCs w:val="21"/>
              </w:rPr>
            </w:pPr>
            <w:r>
              <w:rPr>
                <w:rStyle w:val="11"/>
                <w:rFonts w:hint="eastAsia" w:ascii="仿宋_GB2312" w:hAnsi="仿宋_GB2312" w:eastAsia="仿宋_GB2312"/>
                <w:color w:val="auto"/>
                <w:szCs w:val="21"/>
              </w:rPr>
              <w:t>城市建设填堵水域、废除软围堤审核</w:t>
            </w:r>
          </w:p>
        </w:tc>
        <w:tc>
          <w:tcPr>
            <w:tcW w:w="6525" w:type="dxa"/>
            <w:vMerge w:val="continue"/>
            <w:vAlign w:val="center"/>
          </w:tcPr>
          <w:p w14:paraId="0AB7167F">
            <w:pPr>
              <w:keepNext w:val="0"/>
              <w:keepLines w:val="0"/>
              <w:pageBreakBefore w:val="0"/>
              <w:kinsoku/>
              <w:wordWrap/>
              <w:overflowPunct/>
              <w:topLinePunct w:val="0"/>
              <w:autoSpaceDE/>
              <w:autoSpaceDN/>
              <w:bidi w:val="0"/>
              <w:adjustRightInd/>
              <w:snapToGrid/>
              <w:spacing w:line="280" w:lineRule="exact"/>
              <w:ind w:left="0" w:firstLine="420" w:firstLineChars="200"/>
              <w:rPr>
                <w:rStyle w:val="11"/>
                <w:rFonts w:ascii="仿宋_GB2312" w:hAnsi="仿宋_GB2312" w:eastAsia="仿宋_GB2312"/>
                <w:color w:val="auto"/>
                <w:szCs w:val="21"/>
              </w:rPr>
            </w:pPr>
          </w:p>
        </w:tc>
        <w:tc>
          <w:tcPr>
            <w:tcW w:w="1110" w:type="dxa"/>
            <w:vMerge w:val="continue"/>
            <w:vAlign w:val="center"/>
          </w:tcPr>
          <w:p w14:paraId="63216593">
            <w:pPr>
              <w:keepNext w:val="0"/>
              <w:keepLines w:val="0"/>
              <w:pageBreakBefore w:val="0"/>
              <w:kinsoku/>
              <w:wordWrap/>
              <w:overflowPunct/>
              <w:topLinePunct w:val="0"/>
              <w:autoSpaceDE/>
              <w:autoSpaceDN/>
              <w:bidi w:val="0"/>
              <w:adjustRightInd/>
              <w:snapToGrid/>
              <w:spacing w:line="280" w:lineRule="exact"/>
              <w:ind w:left="0"/>
              <w:jc w:val="center"/>
              <w:rPr>
                <w:rStyle w:val="11"/>
                <w:rFonts w:ascii="仿宋_GB2312" w:hAnsi="仿宋_GB2312" w:eastAsia="仿宋_GB2312"/>
                <w:color w:val="auto"/>
                <w:szCs w:val="21"/>
              </w:rPr>
            </w:pPr>
          </w:p>
        </w:tc>
        <w:tc>
          <w:tcPr>
            <w:tcW w:w="1367" w:type="dxa"/>
            <w:vMerge w:val="continue"/>
            <w:vAlign w:val="center"/>
          </w:tcPr>
          <w:p w14:paraId="10714420">
            <w:pPr>
              <w:keepNext w:val="0"/>
              <w:keepLines w:val="0"/>
              <w:pageBreakBefore w:val="0"/>
              <w:kinsoku/>
              <w:wordWrap/>
              <w:overflowPunct/>
              <w:topLinePunct w:val="0"/>
              <w:autoSpaceDE/>
              <w:autoSpaceDN/>
              <w:bidi w:val="0"/>
              <w:adjustRightInd/>
              <w:snapToGrid/>
              <w:spacing w:line="280" w:lineRule="exact"/>
              <w:ind w:left="0"/>
              <w:rPr>
                <w:rStyle w:val="11"/>
                <w:rFonts w:hint="eastAsia" w:ascii="仿宋_GB2312" w:hAnsi="仿宋_GB2312" w:eastAsia="仿宋_GB2312"/>
                <w:color w:val="auto"/>
                <w:szCs w:val="21"/>
              </w:rPr>
            </w:pPr>
          </w:p>
        </w:tc>
        <w:tc>
          <w:tcPr>
            <w:tcW w:w="1153" w:type="dxa"/>
            <w:vMerge w:val="continue"/>
            <w:vAlign w:val="center"/>
          </w:tcPr>
          <w:p w14:paraId="2B22BF6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65" w:type="dxa"/>
            <w:vMerge w:val="continue"/>
            <w:vAlign w:val="center"/>
          </w:tcPr>
          <w:p w14:paraId="271FE30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9" w:type="dxa"/>
            <w:vMerge w:val="continue"/>
            <w:vAlign w:val="center"/>
          </w:tcPr>
          <w:p w14:paraId="3A11F73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0C703A3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750" w:hRule="atLeast"/>
          <w:jc w:val="center"/>
        </w:trPr>
        <w:tc>
          <w:tcPr>
            <w:tcW w:w="594" w:type="dxa"/>
            <w:vMerge w:val="continue"/>
            <w:vAlign w:val="center"/>
          </w:tcPr>
          <w:p w14:paraId="39EEAECD">
            <w:pPr>
              <w:keepNext w:val="0"/>
              <w:keepLines w:val="0"/>
              <w:pageBreakBefore w:val="0"/>
              <w:kinsoku/>
              <w:wordWrap/>
              <w:overflowPunct/>
              <w:topLinePunct w:val="0"/>
              <w:autoSpaceDE/>
              <w:autoSpaceDN/>
              <w:bidi w:val="0"/>
              <w:adjustRightInd/>
              <w:snapToGrid/>
              <w:spacing w:line="280" w:lineRule="exact"/>
              <w:ind w:left="0" w:firstLineChars="0"/>
              <w:jc w:val="center"/>
              <w:rPr>
                <w:rFonts w:hint="eastAsia" w:ascii="仿宋_GB2312" w:hAnsi="仿宋_GB2312" w:eastAsia="仿宋_GB2312" w:cs="仿宋_GB2312"/>
                <w:color w:val="auto"/>
                <w:szCs w:val="21"/>
              </w:rPr>
            </w:pPr>
          </w:p>
        </w:tc>
        <w:tc>
          <w:tcPr>
            <w:tcW w:w="1313" w:type="dxa"/>
            <w:vMerge w:val="continue"/>
            <w:vAlign w:val="center"/>
          </w:tcPr>
          <w:p w14:paraId="1B42AD9C">
            <w:pPr>
              <w:keepNext w:val="0"/>
              <w:keepLines w:val="0"/>
              <w:pageBreakBefore w:val="0"/>
              <w:kinsoku/>
              <w:wordWrap/>
              <w:overflowPunct/>
              <w:topLinePunct w:val="0"/>
              <w:autoSpaceDE/>
              <w:autoSpaceDN/>
              <w:bidi w:val="0"/>
              <w:adjustRightInd/>
              <w:snapToGrid/>
              <w:spacing w:line="280" w:lineRule="exact"/>
              <w:ind w:left="0"/>
              <w:rPr>
                <w:rStyle w:val="11"/>
                <w:rFonts w:ascii="仿宋_GB2312" w:hAnsi="仿宋_GB2312" w:eastAsia="仿宋_GB2312"/>
                <w:color w:val="auto"/>
                <w:szCs w:val="21"/>
              </w:rPr>
            </w:pPr>
          </w:p>
        </w:tc>
        <w:tc>
          <w:tcPr>
            <w:tcW w:w="1648" w:type="dxa"/>
            <w:vAlign w:val="center"/>
          </w:tcPr>
          <w:p w14:paraId="1CE39CFF">
            <w:pPr>
              <w:keepNext w:val="0"/>
              <w:keepLines w:val="0"/>
              <w:pageBreakBefore w:val="0"/>
              <w:kinsoku/>
              <w:wordWrap/>
              <w:overflowPunct/>
              <w:topLinePunct w:val="0"/>
              <w:autoSpaceDE/>
              <w:autoSpaceDN/>
              <w:bidi w:val="0"/>
              <w:adjustRightInd/>
              <w:snapToGrid/>
              <w:spacing w:line="280" w:lineRule="exact"/>
              <w:ind w:left="0"/>
              <w:jc w:val="center"/>
              <w:rPr>
                <w:rStyle w:val="11"/>
                <w:rFonts w:hint="eastAsia" w:ascii="仿宋_GB2312" w:hAnsi="仿宋_GB2312" w:eastAsia="仿宋_GB2312"/>
                <w:color w:val="auto"/>
                <w:szCs w:val="21"/>
              </w:rPr>
            </w:pPr>
            <w:r>
              <w:rPr>
                <w:rStyle w:val="11"/>
                <w:rFonts w:ascii="仿宋_GB2312" w:hAnsi="仿宋_GB2312" w:eastAsia="仿宋_GB2312"/>
                <w:color w:val="auto"/>
                <w:szCs w:val="21"/>
              </w:rPr>
              <w:t>河道管理范围内建设</w:t>
            </w:r>
            <w:r>
              <w:rPr>
                <w:rStyle w:val="11"/>
                <w:rFonts w:hint="eastAsia" w:ascii="仿宋_GB2312" w:hAnsi="仿宋_GB2312" w:eastAsia="仿宋_GB2312"/>
                <w:color w:val="auto"/>
                <w:szCs w:val="21"/>
              </w:rPr>
              <w:t>项目工程建设方案审批</w:t>
            </w:r>
          </w:p>
        </w:tc>
        <w:tc>
          <w:tcPr>
            <w:tcW w:w="6525" w:type="dxa"/>
            <w:vMerge w:val="continue"/>
            <w:vAlign w:val="center"/>
          </w:tcPr>
          <w:p w14:paraId="7E776C98">
            <w:pPr>
              <w:keepNext w:val="0"/>
              <w:keepLines w:val="0"/>
              <w:pageBreakBefore w:val="0"/>
              <w:kinsoku/>
              <w:wordWrap/>
              <w:overflowPunct/>
              <w:topLinePunct w:val="0"/>
              <w:autoSpaceDE/>
              <w:autoSpaceDN/>
              <w:bidi w:val="0"/>
              <w:adjustRightInd/>
              <w:snapToGrid/>
              <w:spacing w:line="280" w:lineRule="exact"/>
              <w:ind w:left="0" w:firstLine="420" w:firstLineChars="200"/>
              <w:rPr>
                <w:rStyle w:val="11"/>
                <w:rFonts w:ascii="仿宋_GB2312" w:hAnsi="仿宋_GB2312" w:eastAsia="仿宋_GB2312"/>
                <w:color w:val="auto"/>
                <w:szCs w:val="21"/>
              </w:rPr>
            </w:pPr>
          </w:p>
        </w:tc>
        <w:tc>
          <w:tcPr>
            <w:tcW w:w="1110" w:type="dxa"/>
            <w:vMerge w:val="continue"/>
            <w:vAlign w:val="center"/>
          </w:tcPr>
          <w:p w14:paraId="3147F969">
            <w:pPr>
              <w:keepNext w:val="0"/>
              <w:keepLines w:val="0"/>
              <w:pageBreakBefore w:val="0"/>
              <w:kinsoku/>
              <w:wordWrap/>
              <w:overflowPunct/>
              <w:topLinePunct w:val="0"/>
              <w:autoSpaceDE/>
              <w:autoSpaceDN/>
              <w:bidi w:val="0"/>
              <w:adjustRightInd/>
              <w:snapToGrid/>
              <w:spacing w:line="280" w:lineRule="exact"/>
              <w:ind w:left="0"/>
              <w:jc w:val="center"/>
              <w:rPr>
                <w:rStyle w:val="11"/>
                <w:rFonts w:ascii="仿宋_GB2312" w:hAnsi="仿宋_GB2312" w:eastAsia="仿宋_GB2312"/>
                <w:color w:val="auto"/>
                <w:szCs w:val="21"/>
              </w:rPr>
            </w:pPr>
          </w:p>
        </w:tc>
        <w:tc>
          <w:tcPr>
            <w:tcW w:w="1367" w:type="dxa"/>
            <w:vMerge w:val="continue"/>
            <w:vAlign w:val="center"/>
          </w:tcPr>
          <w:p w14:paraId="53E4F43E">
            <w:pPr>
              <w:keepNext w:val="0"/>
              <w:keepLines w:val="0"/>
              <w:pageBreakBefore w:val="0"/>
              <w:kinsoku/>
              <w:wordWrap/>
              <w:overflowPunct/>
              <w:topLinePunct w:val="0"/>
              <w:autoSpaceDE/>
              <w:autoSpaceDN/>
              <w:bidi w:val="0"/>
              <w:adjustRightInd/>
              <w:snapToGrid/>
              <w:spacing w:line="280" w:lineRule="exact"/>
              <w:ind w:left="0"/>
              <w:rPr>
                <w:rStyle w:val="11"/>
                <w:rFonts w:hint="eastAsia" w:ascii="仿宋_GB2312" w:hAnsi="仿宋_GB2312" w:eastAsia="仿宋_GB2312"/>
                <w:color w:val="auto"/>
                <w:szCs w:val="21"/>
              </w:rPr>
            </w:pPr>
          </w:p>
        </w:tc>
        <w:tc>
          <w:tcPr>
            <w:tcW w:w="1153" w:type="dxa"/>
            <w:vMerge w:val="continue"/>
            <w:vAlign w:val="center"/>
          </w:tcPr>
          <w:p w14:paraId="735E122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65" w:type="dxa"/>
            <w:vMerge w:val="continue"/>
            <w:vAlign w:val="center"/>
          </w:tcPr>
          <w:p w14:paraId="48D3A69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9" w:type="dxa"/>
            <w:vMerge w:val="continue"/>
            <w:vAlign w:val="center"/>
          </w:tcPr>
          <w:p w14:paraId="330E2A8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2BE4AB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3990" w:hRule="atLeast"/>
          <w:jc w:val="center"/>
        </w:trPr>
        <w:tc>
          <w:tcPr>
            <w:tcW w:w="594" w:type="dxa"/>
            <w:vAlign w:val="center"/>
          </w:tcPr>
          <w:p w14:paraId="5B9AFF8B">
            <w:pPr>
              <w:keepNext w:val="0"/>
              <w:keepLines w:val="0"/>
              <w:pageBreakBefore w:val="0"/>
              <w:numPr>
                <w:ilvl w:val="0"/>
                <w:numId w:val="1"/>
              </w:numPr>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Cs w:val="21"/>
                <w:lang w:eastAsia="zh-CN"/>
              </w:rPr>
            </w:pPr>
          </w:p>
        </w:tc>
        <w:tc>
          <w:tcPr>
            <w:tcW w:w="1313" w:type="dxa"/>
            <w:vAlign w:val="center"/>
          </w:tcPr>
          <w:p w14:paraId="63A2CB7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Style w:val="11"/>
                <w:rFonts w:ascii="仿宋_GB2312" w:hAnsi="仿宋_GB2312" w:eastAsia="仿宋_GB2312"/>
                <w:color w:val="auto"/>
                <w:szCs w:val="21"/>
              </w:rPr>
              <w:t>采砂可行性论证报告编制</w:t>
            </w:r>
          </w:p>
        </w:tc>
        <w:tc>
          <w:tcPr>
            <w:tcW w:w="1648" w:type="dxa"/>
            <w:vAlign w:val="center"/>
          </w:tcPr>
          <w:p w14:paraId="5F22475B">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Style w:val="11"/>
                <w:rFonts w:ascii="仿宋_GB2312" w:hAnsi="仿宋_GB2312" w:eastAsia="仿宋_GB2312"/>
                <w:color w:val="auto"/>
                <w:szCs w:val="21"/>
              </w:rPr>
              <w:t>河道采砂许可</w:t>
            </w:r>
          </w:p>
        </w:tc>
        <w:tc>
          <w:tcPr>
            <w:tcW w:w="6525" w:type="dxa"/>
            <w:vAlign w:val="center"/>
          </w:tcPr>
          <w:p w14:paraId="74093C2B">
            <w:pPr>
              <w:keepNext w:val="0"/>
              <w:keepLines w:val="0"/>
              <w:pageBreakBefore w:val="0"/>
              <w:kinsoku/>
              <w:wordWrap/>
              <w:overflowPunct/>
              <w:topLinePunct w:val="0"/>
              <w:autoSpaceDE/>
              <w:autoSpaceDN/>
              <w:bidi w:val="0"/>
              <w:adjustRightInd/>
              <w:snapToGrid/>
              <w:spacing w:line="280" w:lineRule="exact"/>
              <w:ind w:left="0"/>
              <w:rPr>
                <w:rStyle w:val="11"/>
                <w:rFonts w:hint="eastAsia" w:ascii="仿宋_GB2312" w:hAnsi="仿宋_GB2312" w:eastAsia="仿宋_GB2312"/>
                <w:color w:val="auto"/>
                <w:szCs w:val="21"/>
              </w:rPr>
            </w:pPr>
            <w:r>
              <w:rPr>
                <w:rStyle w:val="11"/>
                <w:rFonts w:ascii="仿宋_GB2312" w:hAnsi="仿宋_GB2312" w:eastAsia="仿宋_GB2312"/>
                <w:color w:val="auto"/>
                <w:szCs w:val="21"/>
              </w:rPr>
              <w:t>《长江河道采砂管理条例》</w:t>
            </w:r>
            <w:r>
              <w:rPr>
                <w:rStyle w:val="11"/>
                <w:rFonts w:hint="eastAsia" w:ascii="仿宋_GB2312" w:hAnsi="仿宋_GB2312" w:eastAsia="仿宋_GB2312"/>
                <w:color w:val="auto"/>
                <w:szCs w:val="21"/>
              </w:rPr>
              <w:t>(国务院令2001年第320号）</w:t>
            </w:r>
            <w:r>
              <w:rPr>
                <w:rStyle w:val="11"/>
                <w:rFonts w:ascii="仿宋_GB2312" w:hAnsi="仿宋_GB2312" w:eastAsia="仿宋_GB2312"/>
                <w:color w:val="auto"/>
                <w:szCs w:val="21"/>
              </w:rPr>
              <w:t>第十条第一款</w:t>
            </w:r>
            <w:r>
              <w:rPr>
                <w:rStyle w:val="11"/>
                <w:rFonts w:hint="eastAsia" w:ascii="仿宋_GB2312" w:hAnsi="仿宋_GB2312" w:eastAsia="仿宋_GB2312"/>
                <w:color w:val="auto"/>
                <w:szCs w:val="21"/>
              </w:rPr>
              <w:t xml:space="preserve"> </w:t>
            </w:r>
            <w:r>
              <w:rPr>
                <w:rStyle w:val="11"/>
                <w:rFonts w:ascii="仿宋_GB2312" w:hAnsi="仿宋_GB2312" w:eastAsia="仿宋_GB2312"/>
                <w:color w:val="auto"/>
                <w:szCs w:val="21"/>
              </w:rPr>
              <w:t xml:space="preserve"> 从事长江采砂活动的单位和个人应当向沿江市、县人民政府水行政主管部门提出申请；符合下列条件的，由长江水利委员会或者沿江省、直辖市人民政府水行政主管部门依照本条例第九条的规定，审批发放河道采砂许可证：（一）符合长江采砂规划确定的可采区和可采期的要求；…（七）长江水利委员会或者沿江省、直辖市人民政府水行政主管部门规定的其他条件</w:t>
            </w:r>
            <w:r>
              <w:rPr>
                <w:rStyle w:val="11"/>
                <w:rFonts w:hint="eastAsia" w:ascii="仿宋_GB2312" w:hAnsi="仿宋_GB2312" w:eastAsia="仿宋_GB2312"/>
                <w:color w:val="auto"/>
                <w:szCs w:val="21"/>
              </w:rPr>
              <w:t>；</w:t>
            </w:r>
          </w:p>
          <w:p w14:paraId="1E2008D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Style w:val="11"/>
                <w:rFonts w:ascii="仿宋_GB2312" w:hAnsi="仿宋_GB2312" w:eastAsia="仿宋_GB2312"/>
                <w:color w:val="auto"/>
                <w:szCs w:val="21"/>
              </w:rPr>
              <w:t>《湖北省河道采砂管理条例》第十九条</w:t>
            </w:r>
            <w:r>
              <w:rPr>
                <w:rStyle w:val="11"/>
                <w:rFonts w:hint="eastAsia" w:ascii="仿宋_GB2312" w:hAnsi="仿宋_GB2312" w:eastAsia="仿宋_GB2312"/>
                <w:color w:val="auto"/>
                <w:szCs w:val="21"/>
              </w:rPr>
              <w:t xml:space="preserve"> </w:t>
            </w:r>
            <w:r>
              <w:rPr>
                <w:rStyle w:val="11"/>
                <w:rFonts w:ascii="仿宋_GB2312" w:hAnsi="仿宋_GB2312" w:eastAsia="仿宋_GB2312"/>
                <w:color w:val="auto"/>
                <w:szCs w:val="21"/>
              </w:rPr>
              <w:t xml:space="preserve"> 因吹填造地、路基填筑等重点工程需要进行河道采砂的，应当编制采砂可行性论证报告，经上一级人民政府同意，依法向有许可权的河道采砂主管部门申请。对符合河道采砂许可条件的，由河道采砂主管部门发放河道采砂许可证。因整修河道堤防进行吹填固基等公益性采砂活动的，不需要办理河道采砂许可证，但应当按照要求编制采砂可行性论证报告，报有许可权的河道采砂主管部门审批。所采砂石不得用于经营。 </w:t>
            </w:r>
          </w:p>
        </w:tc>
        <w:tc>
          <w:tcPr>
            <w:tcW w:w="1110" w:type="dxa"/>
            <w:vAlign w:val="center"/>
          </w:tcPr>
          <w:p w14:paraId="2B40508A">
            <w:pPr>
              <w:keepNext w:val="0"/>
              <w:keepLines w:val="0"/>
              <w:pageBreakBefore w:val="0"/>
              <w:kinsoku/>
              <w:wordWrap/>
              <w:overflowPunct/>
              <w:topLinePunct w:val="0"/>
              <w:autoSpaceDE/>
              <w:autoSpaceDN/>
              <w:bidi w:val="0"/>
              <w:adjustRightInd/>
              <w:snapToGrid/>
              <w:spacing w:line="280" w:lineRule="exact"/>
              <w:ind w:left="0" w:leftChars="0"/>
              <w:jc w:val="center"/>
              <w:rPr>
                <w:rFonts w:hint="eastAsia" w:ascii="仿宋_GB2312" w:hAnsi="仿宋_GB2312" w:eastAsia="仿宋_GB2312" w:cs="仿宋_GB2312"/>
                <w:color w:val="auto"/>
                <w:szCs w:val="21"/>
              </w:rPr>
            </w:pPr>
            <w:r>
              <w:rPr>
                <w:rStyle w:val="11"/>
                <w:rFonts w:hint="eastAsia" w:ascii="仿宋_GB2312" w:hAnsi="仿宋_GB2312" w:eastAsia="仿宋_GB2312"/>
                <w:color w:val="auto"/>
                <w:szCs w:val="21"/>
                <w:lang w:eastAsia="zh-CN"/>
              </w:rPr>
              <w:t>梁子湖区农业农村局</w:t>
            </w:r>
          </w:p>
        </w:tc>
        <w:tc>
          <w:tcPr>
            <w:tcW w:w="1367" w:type="dxa"/>
            <w:vAlign w:val="center"/>
          </w:tcPr>
          <w:p w14:paraId="48E1047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Style w:val="11"/>
                <w:rFonts w:hint="eastAsia" w:ascii="仿宋_GB2312" w:hAnsi="仿宋_GB2312" w:eastAsia="仿宋_GB2312"/>
                <w:color w:val="auto"/>
                <w:szCs w:val="21"/>
              </w:rPr>
              <w:t>具有相应能力的中介机构</w:t>
            </w:r>
          </w:p>
        </w:tc>
        <w:tc>
          <w:tcPr>
            <w:tcW w:w="1153" w:type="dxa"/>
            <w:vAlign w:val="center"/>
          </w:tcPr>
          <w:p w14:paraId="6849CA1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Align w:val="center"/>
          </w:tcPr>
          <w:p w14:paraId="4C735F5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b/>
                <w:bCs/>
                <w:color w:val="auto"/>
                <w:sz w:val="21"/>
                <w:szCs w:val="21"/>
              </w:rPr>
            </w:pPr>
            <w:r>
              <w:rPr>
                <w:rFonts w:hint="eastAsia" w:ascii="仿宋_GB2312" w:hAnsi="仿宋_GB2312" w:eastAsia="仿宋_GB2312" w:cs="仿宋_GB2312"/>
                <w:color w:val="auto"/>
                <w:sz w:val="21"/>
                <w:szCs w:val="21"/>
              </w:rPr>
              <w:t>双方协商，合同约定</w:t>
            </w:r>
          </w:p>
        </w:tc>
        <w:tc>
          <w:tcPr>
            <w:tcW w:w="1159" w:type="dxa"/>
            <w:vAlign w:val="center"/>
          </w:tcPr>
          <w:p w14:paraId="52FB7FF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0ED9120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225" w:hRule="atLeast"/>
          <w:jc w:val="center"/>
        </w:trPr>
        <w:tc>
          <w:tcPr>
            <w:tcW w:w="594" w:type="dxa"/>
            <w:vAlign w:val="center"/>
          </w:tcPr>
          <w:p w14:paraId="165EBAC4">
            <w:pPr>
              <w:keepNext w:val="0"/>
              <w:keepLines w:val="0"/>
              <w:pageBreakBefore w:val="0"/>
              <w:numPr>
                <w:ilvl w:val="0"/>
                <w:numId w:val="1"/>
              </w:numPr>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Cs w:val="21"/>
                <w:lang w:eastAsia="zh-CN"/>
              </w:rPr>
            </w:pPr>
          </w:p>
        </w:tc>
        <w:tc>
          <w:tcPr>
            <w:tcW w:w="1313" w:type="dxa"/>
            <w:vAlign w:val="center"/>
          </w:tcPr>
          <w:p w14:paraId="6A5B9A1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Style w:val="11"/>
                <w:rFonts w:ascii="仿宋_GB2312" w:hAnsi="仿宋_GB2312" w:eastAsia="仿宋_GB2312"/>
                <w:color w:val="auto"/>
                <w:szCs w:val="21"/>
              </w:rPr>
              <w:t>建设项目水资源论证报告书编制</w:t>
            </w:r>
          </w:p>
        </w:tc>
        <w:tc>
          <w:tcPr>
            <w:tcW w:w="1648" w:type="dxa"/>
            <w:vAlign w:val="center"/>
          </w:tcPr>
          <w:p w14:paraId="6409D02F">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Style w:val="11"/>
                <w:rFonts w:ascii="仿宋_GB2312" w:hAnsi="仿宋_GB2312" w:eastAsia="仿宋_GB2312"/>
                <w:color w:val="auto"/>
                <w:szCs w:val="21"/>
              </w:rPr>
              <w:t>取水许可</w:t>
            </w:r>
          </w:p>
        </w:tc>
        <w:tc>
          <w:tcPr>
            <w:tcW w:w="6525" w:type="dxa"/>
            <w:vAlign w:val="center"/>
          </w:tcPr>
          <w:p w14:paraId="5CF6AB77">
            <w:pPr>
              <w:keepNext w:val="0"/>
              <w:keepLines w:val="0"/>
              <w:pageBreakBefore w:val="0"/>
              <w:kinsoku/>
              <w:wordWrap/>
              <w:overflowPunct/>
              <w:topLinePunct w:val="0"/>
              <w:autoSpaceDE/>
              <w:autoSpaceDN/>
              <w:bidi w:val="0"/>
              <w:adjustRightInd/>
              <w:snapToGrid/>
              <w:spacing w:line="280" w:lineRule="exact"/>
              <w:ind w:left="0"/>
              <w:rPr>
                <w:rStyle w:val="11"/>
                <w:rFonts w:hint="eastAsia" w:ascii="仿宋_GB2312" w:hAnsi="仿宋_GB2312" w:eastAsia="仿宋_GB2312"/>
                <w:color w:val="auto"/>
                <w:szCs w:val="21"/>
              </w:rPr>
            </w:pPr>
            <w:r>
              <w:rPr>
                <w:rStyle w:val="11"/>
                <w:rFonts w:ascii="仿宋_GB2312" w:hAnsi="仿宋_GB2312" w:eastAsia="仿宋_GB2312"/>
                <w:color w:val="auto"/>
                <w:szCs w:val="21"/>
              </w:rPr>
              <w:t>《取水许可和水资源费征收管理条例》（国务院令第460号</w:t>
            </w:r>
            <w:r>
              <w:rPr>
                <w:rStyle w:val="11"/>
                <w:rFonts w:hint="eastAsia" w:ascii="仿宋_GB2312" w:hAnsi="仿宋_GB2312" w:eastAsia="仿宋_GB2312"/>
                <w:color w:val="auto"/>
                <w:szCs w:val="21"/>
              </w:rPr>
              <w:t>，2017年修改</w:t>
            </w:r>
            <w:r>
              <w:rPr>
                <w:rStyle w:val="11"/>
                <w:rFonts w:ascii="仿宋_GB2312" w:hAnsi="仿宋_GB2312" w:eastAsia="仿宋_GB2312"/>
                <w:color w:val="auto"/>
                <w:szCs w:val="21"/>
              </w:rPr>
              <w:t>）第十一条  建设项目需要取水的，申请人还应当提交建设项目水资源论证报告书</w:t>
            </w:r>
            <w:r>
              <w:rPr>
                <w:rStyle w:val="11"/>
                <w:rFonts w:hint="eastAsia" w:ascii="仿宋_GB2312" w:hAnsi="仿宋_GB2312" w:eastAsia="仿宋_GB2312"/>
                <w:color w:val="auto"/>
                <w:szCs w:val="21"/>
              </w:rPr>
              <w:t>；</w:t>
            </w:r>
          </w:p>
          <w:p w14:paraId="4768E7A8">
            <w:pPr>
              <w:keepNext w:val="0"/>
              <w:keepLines w:val="0"/>
              <w:pageBreakBefore w:val="0"/>
              <w:kinsoku/>
              <w:wordWrap/>
              <w:overflowPunct/>
              <w:topLinePunct w:val="0"/>
              <w:autoSpaceDE/>
              <w:autoSpaceDN/>
              <w:bidi w:val="0"/>
              <w:adjustRightInd/>
              <w:snapToGrid/>
              <w:spacing w:line="280" w:lineRule="exact"/>
              <w:ind w:left="0"/>
              <w:rPr>
                <w:rStyle w:val="11"/>
                <w:rFonts w:hint="eastAsia" w:ascii="仿宋_GB2312" w:hAnsi="仿宋_GB2312" w:eastAsia="仿宋_GB2312"/>
                <w:color w:val="auto"/>
                <w:szCs w:val="21"/>
              </w:rPr>
            </w:pPr>
            <w:r>
              <w:rPr>
                <w:rStyle w:val="11"/>
                <w:rFonts w:hint="eastAsia" w:ascii="仿宋_GB2312" w:hAnsi="仿宋_GB2312" w:eastAsia="仿宋_GB2312"/>
                <w:color w:val="auto"/>
                <w:szCs w:val="21"/>
              </w:rPr>
              <w:t>《湖北省实施〈中华人民共和国水法〉办法》第十一条第一款 对于直接从地下或者江河、湖泊及水工程拦蓄江河、湖泊的水域内取用水资源并需申请取水许可证的新建、改建、扩建的建设项目，业主单位应当委托有建设项目水资源论证资质的单位，进行水资源论证，编制论证报告书。</w:t>
            </w:r>
          </w:p>
          <w:p w14:paraId="1AFD26C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Style w:val="11"/>
                <w:rFonts w:hint="eastAsia" w:ascii="仿宋_GB2312" w:hAnsi="仿宋_GB2312" w:eastAsia="仿宋_GB2312"/>
                <w:color w:val="auto"/>
                <w:szCs w:val="21"/>
              </w:rPr>
              <w:t>《建设项目水水资源论证管理办法》第二条　对于直接从江河、湖泊或地下取水并需申请取水许可证的新建、改建、扩建的建设项目（以下简称建设项目），建设项目业主单位（以下简称业主单位）应当按照本办法的规定进行建设项目水资源论证，编制建设项目水资源论证报告书。</w:t>
            </w:r>
          </w:p>
        </w:tc>
        <w:tc>
          <w:tcPr>
            <w:tcW w:w="1110" w:type="dxa"/>
            <w:vAlign w:val="center"/>
          </w:tcPr>
          <w:p w14:paraId="6B746E33">
            <w:pPr>
              <w:keepNext w:val="0"/>
              <w:keepLines w:val="0"/>
              <w:pageBreakBefore w:val="0"/>
              <w:kinsoku/>
              <w:wordWrap/>
              <w:overflowPunct/>
              <w:topLinePunct w:val="0"/>
              <w:autoSpaceDE/>
              <w:autoSpaceDN/>
              <w:bidi w:val="0"/>
              <w:adjustRightInd/>
              <w:snapToGrid/>
              <w:spacing w:line="280" w:lineRule="exact"/>
              <w:ind w:left="0" w:leftChars="0"/>
              <w:jc w:val="center"/>
              <w:rPr>
                <w:rFonts w:hint="eastAsia" w:ascii="仿宋_GB2312" w:hAnsi="仿宋_GB2312" w:eastAsia="仿宋_GB2312" w:cs="仿宋_GB2312"/>
                <w:color w:val="auto"/>
                <w:szCs w:val="21"/>
              </w:rPr>
            </w:pPr>
            <w:r>
              <w:rPr>
                <w:rStyle w:val="11"/>
                <w:rFonts w:hint="eastAsia" w:ascii="仿宋_GB2312" w:hAnsi="仿宋_GB2312" w:eastAsia="仿宋_GB2312"/>
                <w:color w:val="auto"/>
                <w:szCs w:val="21"/>
                <w:lang w:eastAsia="zh-CN"/>
              </w:rPr>
              <w:t>梁子湖区农业农村局</w:t>
            </w:r>
          </w:p>
        </w:tc>
        <w:tc>
          <w:tcPr>
            <w:tcW w:w="1367" w:type="dxa"/>
            <w:vAlign w:val="center"/>
          </w:tcPr>
          <w:p w14:paraId="1BE6BC3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Style w:val="11"/>
                <w:rFonts w:hint="eastAsia" w:ascii="仿宋_GB2312" w:hAnsi="仿宋_GB2312" w:eastAsia="仿宋_GB2312"/>
                <w:color w:val="auto"/>
                <w:szCs w:val="21"/>
              </w:rPr>
              <w:t>具有相应能力的中介机构</w:t>
            </w:r>
          </w:p>
        </w:tc>
        <w:tc>
          <w:tcPr>
            <w:tcW w:w="1153" w:type="dxa"/>
            <w:vAlign w:val="center"/>
          </w:tcPr>
          <w:p w14:paraId="70C51C1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Align w:val="center"/>
          </w:tcPr>
          <w:p w14:paraId="5040DF9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vAlign w:val="center"/>
          </w:tcPr>
          <w:p w14:paraId="345D06A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6C090A9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2262" w:hRule="atLeast"/>
          <w:jc w:val="center"/>
        </w:trPr>
        <w:tc>
          <w:tcPr>
            <w:tcW w:w="594" w:type="dxa"/>
            <w:vAlign w:val="center"/>
          </w:tcPr>
          <w:p w14:paraId="7B15EEA9">
            <w:pPr>
              <w:keepNext w:val="0"/>
              <w:keepLines w:val="0"/>
              <w:pageBreakBefore w:val="0"/>
              <w:numPr>
                <w:ilvl w:val="0"/>
                <w:numId w:val="1"/>
              </w:numPr>
              <w:kinsoku/>
              <w:wordWrap/>
              <w:overflowPunct/>
              <w:topLinePunct w:val="0"/>
              <w:autoSpaceDE/>
              <w:autoSpaceDN/>
              <w:bidi w:val="0"/>
              <w:adjustRightInd/>
              <w:snapToGrid/>
              <w:spacing w:line="280" w:lineRule="exact"/>
              <w:ind w:left="0" w:leftChars="0" w:firstLine="0" w:firstLineChars="0"/>
              <w:jc w:val="center"/>
              <w:rPr>
                <w:rFonts w:hint="default" w:ascii="仿宋_GB2312" w:hAnsi="仿宋_GB2312" w:eastAsia="仿宋_GB2312" w:cs="仿宋_GB2312"/>
                <w:color w:val="auto"/>
                <w:szCs w:val="21"/>
                <w:lang w:val="en-US" w:eastAsia="zh-CN"/>
              </w:rPr>
            </w:pPr>
          </w:p>
        </w:tc>
        <w:tc>
          <w:tcPr>
            <w:tcW w:w="1313" w:type="dxa"/>
            <w:vAlign w:val="center"/>
          </w:tcPr>
          <w:p w14:paraId="74FA8E6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拟用生产用水检验报告</w:t>
            </w:r>
          </w:p>
        </w:tc>
        <w:tc>
          <w:tcPr>
            <w:tcW w:w="1648" w:type="dxa"/>
            <w:vAlign w:val="center"/>
          </w:tcPr>
          <w:p w14:paraId="6BD67585">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生猪定点屠宰厂（场）设置审查</w:t>
            </w:r>
          </w:p>
        </w:tc>
        <w:tc>
          <w:tcPr>
            <w:tcW w:w="6525" w:type="dxa"/>
            <w:vAlign w:val="center"/>
          </w:tcPr>
          <w:p w14:paraId="12270C5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生猪屠宰管理条例》第十一条生猪定点屠宰厂（场）应当具备下列条件：（一）有与屠宰规模相适应、水质符合国家规定标准的水源条件；（二）有符合国家规定要求的待宰间、屠宰间、急宰间、检验室以及生猪屠宰设备和运载工具；（三）有依法取得健康证明的屠宰技术人员；（四）有经考核合格的兽医卫生检验人员；（五）有符合国家规定要求的检验设备、消毒设施以及符合环境保护要求的污染防治设施；（六）有病害生猪及生猪产品无害化处理设施或者无害化处理委托协议；（七）依法取得动物防疫条件合格证。</w:t>
            </w:r>
          </w:p>
        </w:tc>
        <w:tc>
          <w:tcPr>
            <w:tcW w:w="1110" w:type="dxa"/>
            <w:vAlign w:val="center"/>
          </w:tcPr>
          <w:p w14:paraId="1B5F86EB">
            <w:pPr>
              <w:keepNext w:val="0"/>
              <w:keepLines w:val="0"/>
              <w:pageBreakBefore w:val="0"/>
              <w:kinsoku/>
              <w:wordWrap/>
              <w:overflowPunct/>
              <w:topLinePunct w:val="0"/>
              <w:autoSpaceDE/>
              <w:autoSpaceDN/>
              <w:bidi w:val="0"/>
              <w:adjustRightInd/>
              <w:snapToGrid/>
              <w:spacing w:line="280" w:lineRule="exact"/>
              <w:ind w:left="0" w:leftChars="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梁子湖区</w:t>
            </w:r>
            <w:r>
              <w:rPr>
                <w:rFonts w:hint="eastAsia" w:ascii="仿宋_GB2312" w:hAnsi="仿宋_GB2312" w:eastAsia="仿宋_GB2312" w:cs="仿宋_GB2312"/>
                <w:color w:val="auto"/>
                <w:szCs w:val="21"/>
              </w:rPr>
              <w:t>农业农村局</w:t>
            </w:r>
          </w:p>
        </w:tc>
        <w:tc>
          <w:tcPr>
            <w:tcW w:w="1367" w:type="dxa"/>
            <w:vAlign w:val="center"/>
          </w:tcPr>
          <w:p w14:paraId="75E9011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第三方检测机构</w:t>
            </w:r>
          </w:p>
        </w:tc>
        <w:tc>
          <w:tcPr>
            <w:tcW w:w="1153" w:type="dxa"/>
            <w:vAlign w:val="center"/>
          </w:tcPr>
          <w:p w14:paraId="7C5E1F8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Align w:val="center"/>
          </w:tcPr>
          <w:p w14:paraId="5639088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b/>
                <w:bCs/>
                <w:color w:val="auto"/>
                <w:sz w:val="21"/>
                <w:szCs w:val="21"/>
              </w:rPr>
            </w:pPr>
            <w:r>
              <w:rPr>
                <w:rFonts w:hint="eastAsia" w:ascii="仿宋_GB2312" w:hAnsi="仿宋_GB2312" w:eastAsia="仿宋_GB2312" w:cs="仿宋_GB2312"/>
                <w:color w:val="auto"/>
                <w:sz w:val="21"/>
                <w:szCs w:val="21"/>
              </w:rPr>
              <w:t>双方协商，合同约定</w:t>
            </w:r>
          </w:p>
        </w:tc>
        <w:tc>
          <w:tcPr>
            <w:tcW w:w="1159" w:type="dxa"/>
            <w:vAlign w:val="center"/>
          </w:tcPr>
          <w:p w14:paraId="4E6A966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51F1905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3611" w:hRule="atLeast"/>
          <w:jc w:val="center"/>
        </w:trPr>
        <w:tc>
          <w:tcPr>
            <w:tcW w:w="594" w:type="dxa"/>
            <w:vAlign w:val="center"/>
          </w:tcPr>
          <w:p w14:paraId="50C109DF">
            <w:pPr>
              <w:keepNext w:val="0"/>
              <w:keepLines w:val="0"/>
              <w:pageBreakBefore w:val="0"/>
              <w:numPr>
                <w:ilvl w:val="0"/>
                <w:numId w:val="1"/>
              </w:numPr>
              <w:kinsoku/>
              <w:wordWrap/>
              <w:overflowPunct/>
              <w:topLinePunct w:val="0"/>
              <w:autoSpaceDE/>
              <w:autoSpaceDN/>
              <w:bidi w:val="0"/>
              <w:adjustRightInd/>
              <w:snapToGrid/>
              <w:spacing w:line="280" w:lineRule="exact"/>
              <w:ind w:left="0" w:leftChars="0" w:firstLine="0" w:firstLineChars="0"/>
              <w:jc w:val="center"/>
              <w:rPr>
                <w:rFonts w:hint="default" w:ascii="仿宋_GB2312" w:hAnsi="仿宋_GB2312" w:eastAsia="仿宋_GB2312" w:cs="仿宋_GB2312"/>
                <w:color w:val="auto"/>
                <w:szCs w:val="21"/>
                <w:lang w:val="en-US" w:eastAsia="zh-CN"/>
              </w:rPr>
            </w:pPr>
          </w:p>
        </w:tc>
        <w:tc>
          <w:tcPr>
            <w:tcW w:w="1313" w:type="dxa"/>
            <w:vAlign w:val="center"/>
          </w:tcPr>
          <w:p w14:paraId="73C42FB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文物影响评估报告及保护措施</w:t>
            </w:r>
          </w:p>
        </w:tc>
        <w:tc>
          <w:tcPr>
            <w:tcW w:w="1648" w:type="dxa"/>
            <w:vAlign w:val="center"/>
          </w:tcPr>
          <w:p w14:paraId="7A84A299">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建设工程文物保护和考古许可</w:t>
            </w:r>
          </w:p>
        </w:tc>
        <w:tc>
          <w:tcPr>
            <w:tcW w:w="6525" w:type="dxa"/>
            <w:vAlign w:val="center"/>
          </w:tcPr>
          <w:p w14:paraId="75554DD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湖北省实施&lt;中华人民共和国文物保护法&gt;办法》第十二条：文物保护单位的修缮、抢险加固，应当根据文物保护单位的级别报相应的文物行政部门批准；变更修缮、抢险加固方案的，必须经原审批机关批准。文物保护单位的修缮、迁移、重建，应当由取得文物保护资质证书的单位承担勘察设计、施工、监理。第十四条：第十四条：一切考古发掘，必须经过省文物行政部门报国务院文物行政部门或者国务院批准后方可进行。</w:t>
            </w:r>
          </w:p>
          <w:p w14:paraId="2BDE0CDD">
            <w:pPr>
              <w:keepNext w:val="0"/>
              <w:keepLines w:val="0"/>
              <w:pageBreakBefore w:val="0"/>
              <w:kinsoku/>
              <w:wordWrap/>
              <w:overflowPunct/>
              <w:topLinePunct w:val="0"/>
              <w:autoSpaceDE/>
              <w:autoSpaceDN/>
              <w:bidi w:val="0"/>
              <w:adjustRightInd/>
              <w:snapToGrid/>
              <w:spacing w:line="280" w:lineRule="exact"/>
              <w:ind w:left="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《省文旅厅关于规范湖北省开发区、工业园区区域性建设项目文物保护统一评价工作的通知》(鄂文旅发[2019]3号) 1.大型基建项目、文保单位及建设控制地带范围内施工、需进行文物调查、勘探。2.开发区、工业园区区域性建设项目文物调查、勘探与评价工作由省文化和旅游厅组织分级实施，由县（市、区）级以上人民政府或管理机构根据级别直接委托文件规定的单位开展，无需再事先向省文化和旅游厅申请……</w:t>
            </w:r>
          </w:p>
        </w:tc>
        <w:tc>
          <w:tcPr>
            <w:tcW w:w="1110" w:type="dxa"/>
            <w:vAlign w:val="center"/>
          </w:tcPr>
          <w:p w14:paraId="10D25FF5">
            <w:pPr>
              <w:keepNext w:val="0"/>
              <w:keepLines w:val="0"/>
              <w:pageBreakBefore w:val="0"/>
              <w:kinsoku/>
              <w:wordWrap/>
              <w:overflowPunct/>
              <w:topLinePunct w:val="0"/>
              <w:autoSpaceDE/>
              <w:autoSpaceDN/>
              <w:bidi w:val="0"/>
              <w:adjustRightInd/>
              <w:snapToGrid/>
              <w:spacing w:line="280" w:lineRule="exact"/>
              <w:ind w:left="0" w:leftChars="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梁子湖区</w:t>
            </w:r>
            <w:r>
              <w:rPr>
                <w:rFonts w:hint="eastAsia" w:ascii="仿宋_GB2312" w:hAnsi="仿宋_GB2312" w:eastAsia="仿宋_GB2312" w:cs="仿宋_GB2312"/>
                <w:color w:val="auto"/>
                <w:szCs w:val="21"/>
              </w:rPr>
              <w:t>文化和旅游局</w:t>
            </w:r>
          </w:p>
        </w:tc>
        <w:tc>
          <w:tcPr>
            <w:tcW w:w="1367" w:type="dxa"/>
            <w:vAlign w:val="center"/>
          </w:tcPr>
          <w:p w14:paraId="09C1E46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具有相应资质或专业技术能力的机构</w:t>
            </w:r>
          </w:p>
        </w:tc>
        <w:tc>
          <w:tcPr>
            <w:tcW w:w="1153" w:type="dxa"/>
            <w:vAlign w:val="center"/>
          </w:tcPr>
          <w:p w14:paraId="6F14FC2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Align w:val="center"/>
          </w:tcPr>
          <w:p w14:paraId="18DFF0E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vAlign w:val="center"/>
          </w:tcPr>
          <w:p w14:paraId="26567EA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市级文保单位由市文旅局审批，审批前需征得省文物局批准。</w:t>
            </w:r>
          </w:p>
        </w:tc>
      </w:tr>
      <w:tr w14:paraId="7DC107A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2056" w:hRule="atLeast"/>
          <w:jc w:val="center"/>
        </w:trPr>
        <w:tc>
          <w:tcPr>
            <w:tcW w:w="594" w:type="dxa"/>
            <w:vAlign w:val="center"/>
          </w:tcPr>
          <w:p w14:paraId="04E15660">
            <w:pPr>
              <w:keepNext w:val="0"/>
              <w:keepLines w:val="0"/>
              <w:pageBreakBefore w:val="0"/>
              <w:numPr>
                <w:ilvl w:val="0"/>
                <w:numId w:val="1"/>
              </w:numPr>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Cs w:val="21"/>
                <w:lang w:eastAsia="zh-CN"/>
              </w:rPr>
            </w:pPr>
          </w:p>
        </w:tc>
        <w:tc>
          <w:tcPr>
            <w:tcW w:w="1313" w:type="dxa"/>
            <w:vAlign w:val="center"/>
          </w:tcPr>
          <w:p w14:paraId="5C45983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出具放射诊疗设备防护性能检测报告和场所检测报告</w:t>
            </w:r>
          </w:p>
        </w:tc>
        <w:tc>
          <w:tcPr>
            <w:tcW w:w="1648" w:type="dxa"/>
            <w:vMerge w:val="restart"/>
            <w:vAlign w:val="center"/>
          </w:tcPr>
          <w:p w14:paraId="4AF672AB">
            <w:pPr>
              <w:keepNext w:val="0"/>
              <w:keepLines w:val="0"/>
              <w:pageBreakBefore w:val="0"/>
              <w:kinsoku/>
              <w:wordWrap/>
              <w:overflowPunct/>
              <w:topLinePunct w:val="0"/>
              <w:autoSpaceDE/>
              <w:autoSpaceDN/>
              <w:bidi w:val="0"/>
              <w:adjustRightInd/>
              <w:snapToGrid/>
              <w:spacing w:line="280" w:lineRule="exact"/>
              <w:ind w:left="0" w:firstLine="210" w:firstLineChars="1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放射诊疗许可</w:t>
            </w:r>
          </w:p>
        </w:tc>
        <w:tc>
          <w:tcPr>
            <w:tcW w:w="6525" w:type="dxa"/>
            <w:vMerge w:val="restart"/>
            <w:vAlign w:val="center"/>
          </w:tcPr>
          <w:p w14:paraId="05943A7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《放射诊疗管理规定》第十三条 医疗机构在放射诊疗建设项目竣工验收前，应当进行职业病危害控制效果评价；并向相应的卫生行政部门提交下列资料，申请进行卫生验收：（三）职业病危害控制效果放射防护评价报告；（四）放射诊疗建设项目验收报告。第十七条《放射诊疗许可证》与《医疗机构执业许可证》同时校验，申请校验时应当提交本周期有关放射诊疗设备性能与辐射工作场所的检测报告、放射诊疗工作人员健康监护资料和工作开展情况报告。</w:t>
            </w:r>
          </w:p>
          <w:p w14:paraId="1634E83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《放射诊疗许可证发放管理程序》第六条 医疗机构申请放射诊疗许可，应当向地方卫生行政部门提交申请材料。（三）本年度放射诊疗设备防护性能检测报告。第十八条 ……医疗机构应当提交下列材料：（四）放射防护与质量控制管理与检测情况及检测报告。</w:t>
            </w:r>
          </w:p>
          <w:p w14:paraId="3C2B065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《放射诊疗管理规定》第十二条　新建、扩建、改建放射诊疗建设项目，医疗机构应当在建设项目施工前向相应的卫生行政部门提交职业病危害放射防护预评价报告，申请进行建设项目卫生审查。</w:t>
            </w:r>
          </w:p>
          <w:p w14:paraId="735DDF2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第十三条　医疗机构在放射诊疗建设项目竣工验收前，应当进行职业病危害控制效果评价；并向相应的卫生行政部门提交下列资料，申请进行卫生验收：（四）放射诊疗建设项目验收报告。</w:t>
            </w:r>
          </w:p>
          <w:p w14:paraId="22FFE6E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《放射诊疗建设项目卫生审查管理规定》第五条 建设单位应当在可行性论证阶段和竣工验收前分别委托具备相应资质的放射卫生技术服务机构编制放射诊疗建设项目职业病危害放射防护预评价报告和职业病危害控制效果放射防护评价报告。</w:t>
            </w:r>
          </w:p>
          <w:p w14:paraId="004DF83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《放射诊疗管理规定》第二十二条 放射诊疗工作人员应当按照有关规定配戴个人剂量计。</w:t>
            </w:r>
          </w:p>
          <w:p w14:paraId="1C471B1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《放射诊疗建设项目卫生审查管理规定》第十八条 ……医疗机构应当提交下列材料：（三）放射工作人员个人剂量监测、健康检查和教育培训情况。</w:t>
            </w:r>
          </w:p>
        </w:tc>
        <w:tc>
          <w:tcPr>
            <w:tcW w:w="1110" w:type="dxa"/>
            <w:vMerge w:val="restart"/>
            <w:vAlign w:val="center"/>
          </w:tcPr>
          <w:p w14:paraId="7943E146">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eastAsia="zh-CN"/>
              </w:rPr>
              <w:t>梁子湖区</w:t>
            </w:r>
          </w:p>
          <w:p w14:paraId="5C6E9D04">
            <w:pPr>
              <w:keepNext w:val="0"/>
              <w:keepLines w:val="0"/>
              <w:pageBreakBefore w:val="0"/>
              <w:kinsoku/>
              <w:wordWrap/>
              <w:overflowPunct/>
              <w:topLinePunct w:val="0"/>
              <w:autoSpaceDE/>
              <w:autoSpaceDN/>
              <w:bidi w:val="0"/>
              <w:adjustRightInd/>
              <w:snapToGrid/>
              <w:spacing w:line="280" w:lineRule="exact"/>
              <w:ind w:left="0" w:leftChars="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卫健局</w:t>
            </w:r>
          </w:p>
        </w:tc>
        <w:tc>
          <w:tcPr>
            <w:tcW w:w="1367" w:type="dxa"/>
            <w:vMerge w:val="restart"/>
            <w:vAlign w:val="center"/>
          </w:tcPr>
          <w:p w14:paraId="79BD496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具备相应资质的放射卫生技术服务机构</w:t>
            </w:r>
          </w:p>
        </w:tc>
        <w:tc>
          <w:tcPr>
            <w:tcW w:w="1153" w:type="dxa"/>
            <w:vMerge w:val="restart"/>
            <w:vAlign w:val="center"/>
          </w:tcPr>
          <w:p w14:paraId="091BFB8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Merge w:val="restart"/>
            <w:vAlign w:val="center"/>
          </w:tcPr>
          <w:p w14:paraId="5310029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vMerge w:val="restart"/>
            <w:vAlign w:val="center"/>
          </w:tcPr>
          <w:p w14:paraId="4A09A77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2856E02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2471" w:hRule="atLeast"/>
          <w:jc w:val="center"/>
        </w:trPr>
        <w:tc>
          <w:tcPr>
            <w:tcW w:w="594" w:type="dxa"/>
            <w:vAlign w:val="center"/>
          </w:tcPr>
          <w:p w14:paraId="458062E8">
            <w:pPr>
              <w:keepNext w:val="0"/>
              <w:keepLines w:val="0"/>
              <w:pageBreakBefore w:val="0"/>
              <w:numPr>
                <w:ilvl w:val="0"/>
                <w:numId w:val="1"/>
              </w:numPr>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Cs w:val="21"/>
                <w:lang w:eastAsia="zh-CN"/>
              </w:rPr>
            </w:pPr>
          </w:p>
        </w:tc>
        <w:tc>
          <w:tcPr>
            <w:tcW w:w="1313" w:type="dxa"/>
            <w:vAlign w:val="center"/>
          </w:tcPr>
          <w:p w14:paraId="3A8195C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放射诊疗建设项目职业病危害放射防护评价</w:t>
            </w:r>
          </w:p>
        </w:tc>
        <w:tc>
          <w:tcPr>
            <w:tcW w:w="1648" w:type="dxa"/>
            <w:vMerge w:val="continue"/>
            <w:vAlign w:val="center"/>
          </w:tcPr>
          <w:p w14:paraId="36DA121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6525" w:type="dxa"/>
            <w:vMerge w:val="continue"/>
            <w:vAlign w:val="center"/>
          </w:tcPr>
          <w:p w14:paraId="215D89C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10" w:type="dxa"/>
            <w:vMerge w:val="continue"/>
            <w:vAlign w:val="center"/>
          </w:tcPr>
          <w:p w14:paraId="542DAD59">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67" w:type="dxa"/>
            <w:vMerge w:val="continue"/>
            <w:vAlign w:val="center"/>
          </w:tcPr>
          <w:p w14:paraId="3E43BF3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3" w:type="dxa"/>
            <w:vMerge w:val="continue"/>
            <w:vAlign w:val="center"/>
          </w:tcPr>
          <w:p w14:paraId="48FE661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65" w:type="dxa"/>
            <w:vMerge w:val="continue"/>
            <w:vAlign w:val="center"/>
          </w:tcPr>
          <w:p w14:paraId="63464E7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9" w:type="dxa"/>
            <w:vMerge w:val="continue"/>
            <w:vAlign w:val="center"/>
          </w:tcPr>
          <w:p w14:paraId="49E9A86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44B32E3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878" w:hRule="atLeast"/>
          <w:jc w:val="center"/>
        </w:trPr>
        <w:tc>
          <w:tcPr>
            <w:tcW w:w="594" w:type="dxa"/>
            <w:vAlign w:val="center"/>
          </w:tcPr>
          <w:p w14:paraId="4DE575B1">
            <w:pPr>
              <w:keepNext w:val="0"/>
              <w:keepLines w:val="0"/>
              <w:pageBreakBefore w:val="0"/>
              <w:numPr>
                <w:ilvl w:val="0"/>
                <w:numId w:val="1"/>
              </w:numPr>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Cs w:val="21"/>
                <w:lang w:eastAsia="zh-CN"/>
              </w:rPr>
            </w:pPr>
          </w:p>
        </w:tc>
        <w:tc>
          <w:tcPr>
            <w:tcW w:w="1313" w:type="dxa"/>
            <w:vAlign w:val="center"/>
          </w:tcPr>
          <w:p w14:paraId="62D3588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出具放射工作人员个人剂量监测报告</w:t>
            </w:r>
          </w:p>
        </w:tc>
        <w:tc>
          <w:tcPr>
            <w:tcW w:w="1648" w:type="dxa"/>
            <w:vMerge w:val="continue"/>
            <w:vAlign w:val="center"/>
          </w:tcPr>
          <w:p w14:paraId="1E0D83B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6525" w:type="dxa"/>
            <w:vMerge w:val="continue"/>
            <w:vAlign w:val="center"/>
          </w:tcPr>
          <w:p w14:paraId="50D185A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10" w:type="dxa"/>
            <w:vMerge w:val="continue"/>
            <w:vAlign w:val="center"/>
          </w:tcPr>
          <w:p w14:paraId="0B31FD6A">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67" w:type="dxa"/>
            <w:vMerge w:val="continue"/>
            <w:vAlign w:val="center"/>
          </w:tcPr>
          <w:p w14:paraId="6036678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3" w:type="dxa"/>
            <w:vMerge w:val="continue"/>
            <w:vAlign w:val="center"/>
          </w:tcPr>
          <w:p w14:paraId="59CDE5E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65" w:type="dxa"/>
            <w:vMerge w:val="continue"/>
            <w:vAlign w:val="center"/>
          </w:tcPr>
          <w:p w14:paraId="4B78831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9" w:type="dxa"/>
            <w:vMerge w:val="continue"/>
            <w:vAlign w:val="center"/>
          </w:tcPr>
          <w:p w14:paraId="0EB9ADC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37D8EAB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2563" w:hRule="atLeast"/>
          <w:jc w:val="center"/>
        </w:trPr>
        <w:tc>
          <w:tcPr>
            <w:tcW w:w="594" w:type="dxa"/>
            <w:vAlign w:val="center"/>
          </w:tcPr>
          <w:p w14:paraId="674B825C">
            <w:pPr>
              <w:keepNext w:val="0"/>
              <w:keepLines w:val="0"/>
              <w:pageBreakBefore w:val="0"/>
              <w:numPr>
                <w:ilvl w:val="0"/>
                <w:numId w:val="1"/>
              </w:numPr>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Cs w:val="21"/>
                <w:lang w:eastAsia="zh-CN"/>
              </w:rPr>
            </w:pPr>
          </w:p>
        </w:tc>
        <w:tc>
          <w:tcPr>
            <w:tcW w:w="1313" w:type="dxa"/>
            <w:vAlign w:val="center"/>
          </w:tcPr>
          <w:p w14:paraId="5B925E3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检测报告</w:t>
            </w:r>
          </w:p>
        </w:tc>
        <w:tc>
          <w:tcPr>
            <w:tcW w:w="1648" w:type="dxa"/>
            <w:vAlign w:val="center"/>
          </w:tcPr>
          <w:p w14:paraId="7D836AD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公共场所卫生许可</w:t>
            </w:r>
          </w:p>
        </w:tc>
        <w:tc>
          <w:tcPr>
            <w:tcW w:w="6525" w:type="dxa"/>
            <w:vAlign w:val="center"/>
          </w:tcPr>
          <w:p w14:paraId="2F43B38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《公共场所卫生管理条例实施细则》第二十三条　公共场所经营者申请卫生许可证的，应当提交下列资料：</w:t>
            </w:r>
            <w:r>
              <w:rPr>
                <w:rFonts w:hint="eastAsia" w:ascii="仿宋_GB2312" w:hAnsi="仿宋_GB2312" w:eastAsia="仿宋_GB2312" w:cs="仿宋_GB2312"/>
                <w:color w:val="auto"/>
                <w:szCs w:val="21"/>
              </w:rPr>
              <w:br w:type="textWrapping"/>
            </w:r>
            <w:r>
              <w:rPr>
                <w:rFonts w:hint="eastAsia" w:ascii="仿宋_GB2312" w:hAnsi="仿宋_GB2312" w:eastAsia="仿宋_GB2312" w:cs="仿宋_GB2312"/>
                <w:color w:val="auto"/>
                <w:szCs w:val="21"/>
              </w:rPr>
              <w:t>　　（一）卫生许可证申请表；</w:t>
            </w:r>
            <w:r>
              <w:rPr>
                <w:rFonts w:hint="eastAsia" w:ascii="仿宋_GB2312" w:hAnsi="仿宋_GB2312" w:eastAsia="仿宋_GB2312" w:cs="仿宋_GB2312"/>
                <w:color w:val="auto"/>
                <w:szCs w:val="21"/>
              </w:rPr>
              <w:br w:type="textWrapping"/>
            </w:r>
            <w:r>
              <w:rPr>
                <w:rFonts w:hint="eastAsia" w:ascii="仿宋_GB2312" w:hAnsi="仿宋_GB2312" w:eastAsia="仿宋_GB2312" w:cs="仿宋_GB2312"/>
                <w:color w:val="auto"/>
                <w:szCs w:val="21"/>
              </w:rPr>
              <w:t>　　（二）法定代表人或者负责人身份证明；</w:t>
            </w:r>
            <w:r>
              <w:rPr>
                <w:rFonts w:hint="eastAsia" w:ascii="仿宋_GB2312" w:hAnsi="仿宋_GB2312" w:eastAsia="仿宋_GB2312" w:cs="仿宋_GB2312"/>
                <w:color w:val="auto"/>
                <w:szCs w:val="21"/>
              </w:rPr>
              <w:br w:type="textWrapping"/>
            </w:r>
            <w:r>
              <w:rPr>
                <w:rFonts w:hint="eastAsia" w:ascii="仿宋_GB2312" w:hAnsi="仿宋_GB2312" w:eastAsia="仿宋_GB2312" w:cs="仿宋_GB2312"/>
                <w:color w:val="auto"/>
                <w:szCs w:val="21"/>
              </w:rPr>
              <w:t>　　（三）公共场所地址方位示意图、平面图和卫生设施平面布局图；</w:t>
            </w:r>
            <w:r>
              <w:rPr>
                <w:rFonts w:hint="eastAsia" w:ascii="仿宋_GB2312" w:hAnsi="仿宋_GB2312" w:eastAsia="仿宋_GB2312" w:cs="仿宋_GB2312"/>
                <w:color w:val="auto"/>
                <w:szCs w:val="21"/>
              </w:rPr>
              <w:br w:type="textWrapping"/>
            </w:r>
            <w:r>
              <w:rPr>
                <w:rFonts w:hint="eastAsia" w:ascii="仿宋_GB2312" w:hAnsi="仿宋_GB2312" w:eastAsia="仿宋_GB2312" w:cs="仿宋_GB2312"/>
                <w:color w:val="auto"/>
                <w:szCs w:val="21"/>
              </w:rPr>
              <w:t>　　（四）公共场所卫生检测或者评价报告；</w:t>
            </w:r>
            <w:r>
              <w:rPr>
                <w:rFonts w:hint="eastAsia" w:ascii="仿宋_GB2312" w:hAnsi="仿宋_GB2312" w:eastAsia="仿宋_GB2312" w:cs="仿宋_GB2312"/>
                <w:color w:val="auto"/>
                <w:szCs w:val="21"/>
              </w:rPr>
              <w:br w:type="textWrapping"/>
            </w:r>
            <w:r>
              <w:rPr>
                <w:rFonts w:hint="eastAsia" w:ascii="仿宋_GB2312" w:hAnsi="仿宋_GB2312" w:eastAsia="仿宋_GB2312" w:cs="仿宋_GB2312"/>
                <w:color w:val="auto"/>
                <w:szCs w:val="21"/>
              </w:rPr>
              <w:t>　　（五）公共场所卫生管理制度；</w:t>
            </w:r>
            <w:r>
              <w:rPr>
                <w:rFonts w:hint="eastAsia" w:ascii="仿宋_GB2312" w:hAnsi="仿宋_GB2312" w:eastAsia="仿宋_GB2312" w:cs="仿宋_GB2312"/>
                <w:color w:val="auto"/>
                <w:szCs w:val="21"/>
              </w:rPr>
              <w:br w:type="textWrapping"/>
            </w:r>
            <w:r>
              <w:rPr>
                <w:rFonts w:hint="eastAsia" w:ascii="仿宋_GB2312" w:hAnsi="仿宋_GB2312" w:eastAsia="仿宋_GB2312" w:cs="仿宋_GB2312"/>
                <w:color w:val="auto"/>
                <w:szCs w:val="21"/>
              </w:rPr>
              <w:t>　　（六）省、自治区、直辖市卫生行政部门要求提供的其他材料。</w:t>
            </w:r>
            <w:r>
              <w:rPr>
                <w:rFonts w:hint="eastAsia" w:ascii="仿宋_GB2312" w:hAnsi="仿宋_GB2312" w:eastAsia="仿宋_GB2312" w:cs="仿宋_GB2312"/>
                <w:color w:val="auto"/>
                <w:szCs w:val="21"/>
              </w:rPr>
              <w:br w:type="textWrapping"/>
            </w:r>
            <w:r>
              <w:rPr>
                <w:rFonts w:hint="eastAsia" w:ascii="仿宋_GB2312" w:hAnsi="仿宋_GB2312" w:eastAsia="仿宋_GB2312" w:cs="仿宋_GB2312"/>
                <w:color w:val="auto"/>
                <w:szCs w:val="21"/>
              </w:rPr>
              <w:t>　　使用集中空调通风系统的，还应当提供集中空调通风系统卫生检测或者评价报告。</w:t>
            </w:r>
          </w:p>
          <w:p w14:paraId="3729C3A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《公共场所卫生管理条例》第七条 公共场所直接为顾客服务的人员，持有“健康合格证”方能从事本职工作。患有痢疾、伤寒、病毒性肝炎、活动期肺结核、化脓性或者渗出性皮肤病以及其他有碍公共卫生的疾病的，治愈前不得从事直接为顾客服务的工作。</w:t>
            </w:r>
          </w:p>
          <w:p w14:paraId="70432A5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《公共场所卫生管理条例实施细则》第十条　公共场所经营者应当组织从业人员每年进行健康检查，从业人员在取得有效健康合格证明后方可上岗。患有痢疾、伤寒、甲型病毒性肝炎、戊型病毒性肝炎等消化道传染病的人员，以及患有活动性肺结核、化脓性或者渗出性皮肤病等疾病的人员，治愈前不得从事直接为顾客服务的工作。</w:t>
            </w:r>
          </w:p>
        </w:tc>
        <w:tc>
          <w:tcPr>
            <w:tcW w:w="1110" w:type="dxa"/>
            <w:vAlign w:val="center"/>
          </w:tcPr>
          <w:p w14:paraId="6AE16F9E">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eastAsia="zh-CN"/>
              </w:rPr>
              <w:t>梁子湖区</w:t>
            </w:r>
          </w:p>
          <w:p w14:paraId="06A4EE24">
            <w:pPr>
              <w:keepNext w:val="0"/>
              <w:keepLines w:val="0"/>
              <w:pageBreakBefore w:val="0"/>
              <w:kinsoku/>
              <w:wordWrap/>
              <w:overflowPunct/>
              <w:topLinePunct w:val="0"/>
              <w:autoSpaceDE/>
              <w:autoSpaceDN/>
              <w:bidi w:val="0"/>
              <w:adjustRightInd/>
              <w:snapToGrid/>
              <w:spacing w:line="280" w:lineRule="exact"/>
              <w:ind w:left="0" w:leftChars="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eastAsia="zh-CN"/>
              </w:rPr>
              <w:t>卫健局</w:t>
            </w:r>
          </w:p>
        </w:tc>
        <w:tc>
          <w:tcPr>
            <w:tcW w:w="1367" w:type="dxa"/>
            <w:vAlign w:val="center"/>
          </w:tcPr>
          <w:p w14:paraId="2921868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具有相应资质的检验机构</w:t>
            </w:r>
          </w:p>
        </w:tc>
        <w:tc>
          <w:tcPr>
            <w:tcW w:w="1153" w:type="dxa"/>
            <w:vAlign w:val="center"/>
          </w:tcPr>
          <w:p w14:paraId="79E579B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Align w:val="center"/>
          </w:tcPr>
          <w:p w14:paraId="49D55E7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b/>
                <w:bCs/>
                <w:color w:val="auto"/>
                <w:sz w:val="21"/>
                <w:szCs w:val="21"/>
              </w:rPr>
            </w:pPr>
            <w:r>
              <w:rPr>
                <w:rFonts w:hint="eastAsia" w:ascii="仿宋_GB2312" w:hAnsi="仿宋_GB2312" w:eastAsia="仿宋_GB2312" w:cs="仿宋_GB2312"/>
                <w:color w:val="auto"/>
                <w:sz w:val="21"/>
                <w:szCs w:val="21"/>
              </w:rPr>
              <w:t>双方协商，合同约定</w:t>
            </w:r>
          </w:p>
        </w:tc>
        <w:tc>
          <w:tcPr>
            <w:tcW w:w="1159" w:type="dxa"/>
            <w:vAlign w:val="center"/>
          </w:tcPr>
          <w:p w14:paraId="3CC105E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1509BEB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0" w:hRule="atLeast"/>
          <w:jc w:val="center"/>
        </w:trPr>
        <w:tc>
          <w:tcPr>
            <w:tcW w:w="16034" w:type="dxa"/>
            <w:gridSpan w:val="9"/>
            <w:vAlign w:val="center"/>
          </w:tcPr>
          <w:p w14:paraId="17E8FAB8">
            <w:pPr>
              <w:keepNext w:val="0"/>
              <w:keepLines w:val="0"/>
              <w:pageBreakBefore w:val="0"/>
              <w:kinsoku/>
              <w:wordWrap/>
              <w:overflowPunct/>
              <w:topLinePunct w:val="0"/>
              <w:autoSpaceDE/>
              <w:autoSpaceDN/>
              <w:bidi w:val="0"/>
              <w:adjustRightInd/>
              <w:snapToGrid/>
              <w:spacing w:line="280" w:lineRule="exact"/>
              <w:ind w:left="0"/>
              <w:jc w:val="center"/>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二、由审批部门委托中介机构开展的行政审批中介服务事项（</w:t>
            </w:r>
            <w:r>
              <w:rPr>
                <w:rFonts w:hint="eastAsia" w:ascii="楷体_GB2312" w:hAnsi="楷体_GB2312" w:eastAsia="楷体_GB2312" w:cs="楷体_GB2312"/>
                <w:color w:val="auto"/>
                <w:sz w:val="28"/>
                <w:szCs w:val="28"/>
                <w:lang w:val="en-US" w:eastAsia="zh-CN"/>
              </w:rPr>
              <w:t>12</w:t>
            </w:r>
            <w:r>
              <w:rPr>
                <w:rFonts w:hint="eastAsia" w:ascii="楷体_GB2312" w:hAnsi="楷体_GB2312" w:eastAsia="楷体_GB2312" w:cs="楷体_GB2312"/>
                <w:color w:val="auto"/>
                <w:sz w:val="28"/>
                <w:szCs w:val="28"/>
              </w:rPr>
              <w:t>项）</w:t>
            </w:r>
          </w:p>
        </w:tc>
      </w:tr>
      <w:tr w14:paraId="441FD2E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46" w:hRule="atLeast"/>
          <w:jc w:val="center"/>
        </w:trPr>
        <w:tc>
          <w:tcPr>
            <w:tcW w:w="594" w:type="dxa"/>
            <w:vAlign w:val="center"/>
          </w:tcPr>
          <w:p w14:paraId="4E046CCC">
            <w:pPr>
              <w:keepNext w:val="0"/>
              <w:keepLines w:val="0"/>
              <w:pageBreakBefore w:val="0"/>
              <w:numPr>
                <w:ilvl w:val="0"/>
                <w:numId w:val="2"/>
              </w:numPr>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Cs w:val="21"/>
                <w:lang w:eastAsia="zh-CN"/>
              </w:rPr>
            </w:pPr>
          </w:p>
        </w:tc>
        <w:tc>
          <w:tcPr>
            <w:tcW w:w="1313" w:type="dxa"/>
            <w:vAlign w:val="center"/>
          </w:tcPr>
          <w:p w14:paraId="0BEF2AA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项目建议书、可行性研究报告、初步设计及概算报告技术评估、评审</w:t>
            </w:r>
          </w:p>
        </w:tc>
        <w:tc>
          <w:tcPr>
            <w:tcW w:w="1648" w:type="dxa"/>
            <w:vAlign w:val="center"/>
          </w:tcPr>
          <w:p w14:paraId="0EDDB12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政府投资项目审批</w:t>
            </w:r>
          </w:p>
        </w:tc>
        <w:tc>
          <w:tcPr>
            <w:tcW w:w="6525" w:type="dxa"/>
            <w:vAlign w:val="center"/>
          </w:tcPr>
          <w:p w14:paraId="224E7CD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政府投资条例》第十一条：投资主管部门或者其他有关部门应当根据国民经济和社会发展规划、相关领域专项规划、产业政策等，从下列方面对政府投资项目进行审查，作出是否批准的决定：（一）项目建议书提出的项目建设的必要性；（二）可行性研究报告分析的项目的技术经济可行性、社会效益以及项目资金等主要建设条件的落实情况；（三）初步设计及其提出的投资概算是否符合可行性研究报告批复以及国家有关标准和规范的要求；（四）依照法律、行政法规和国家有关规定应当审查的其他事项。</w:t>
            </w:r>
          </w:p>
          <w:p w14:paraId="323AD8C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国务院关于投资体制改革的决定》（国发[2004]20号）第三部分第（二）项：政府投资项目一般都要经过符合资质要求的咨询中介机构的评估论证，咨询评估要引入竞争机制，并制定合理的竞争规则；特别重大的项目还应实行专家评议制度。</w:t>
            </w:r>
          </w:p>
        </w:tc>
        <w:tc>
          <w:tcPr>
            <w:tcW w:w="1110" w:type="dxa"/>
            <w:vAlign w:val="center"/>
          </w:tcPr>
          <w:p w14:paraId="3E510E89">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eastAsia="zh-CN"/>
              </w:rPr>
              <w:t>梁子湖区</w:t>
            </w:r>
          </w:p>
          <w:p w14:paraId="1322628C">
            <w:pPr>
              <w:keepNext w:val="0"/>
              <w:keepLines w:val="0"/>
              <w:pageBreakBefore w:val="0"/>
              <w:kinsoku/>
              <w:wordWrap/>
              <w:overflowPunct/>
              <w:topLinePunct w:val="0"/>
              <w:autoSpaceDE/>
              <w:autoSpaceDN/>
              <w:bidi w:val="0"/>
              <w:adjustRightInd/>
              <w:snapToGrid/>
              <w:spacing w:line="280" w:lineRule="exact"/>
              <w:ind w:left="0" w:leftChars="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发改经信局</w:t>
            </w:r>
          </w:p>
        </w:tc>
        <w:tc>
          <w:tcPr>
            <w:tcW w:w="1367" w:type="dxa"/>
            <w:vAlign w:val="center"/>
          </w:tcPr>
          <w:p w14:paraId="52A8D8A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已备案且具有相应资质的咨询机构</w:t>
            </w:r>
          </w:p>
        </w:tc>
        <w:tc>
          <w:tcPr>
            <w:tcW w:w="1153" w:type="dxa"/>
            <w:vAlign w:val="center"/>
          </w:tcPr>
          <w:p w14:paraId="33FDFC1B">
            <w:pPr>
              <w:keepNext w:val="0"/>
              <w:keepLines w:val="0"/>
              <w:pageBreakBefore w:val="0"/>
              <w:kinsoku/>
              <w:wordWrap/>
              <w:overflowPunct/>
              <w:topLinePunct w:val="0"/>
              <w:autoSpaceDE/>
              <w:autoSpaceDN/>
              <w:bidi w:val="0"/>
              <w:adjustRightInd/>
              <w:snapToGrid/>
              <w:spacing w:line="280" w:lineRule="exact"/>
              <w:ind w:left="0"/>
              <w:jc w:val="left"/>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7个工作日</w:t>
            </w:r>
          </w:p>
        </w:tc>
        <w:tc>
          <w:tcPr>
            <w:tcW w:w="1165" w:type="dxa"/>
            <w:vAlign w:val="center"/>
          </w:tcPr>
          <w:p w14:paraId="178C30C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按照部门专项预算，通过竞争方式选择的中介机构提供服务</w:t>
            </w:r>
          </w:p>
        </w:tc>
        <w:tc>
          <w:tcPr>
            <w:tcW w:w="1159" w:type="dxa"/>
            <w:vAlign w:val="center"/>
          </w:tcPr>
          <w:p w14:paraId="0B9037F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由审批部门委托通过竞争方式选择的相关机构为其审批提供技术咨询服务</w:t>
            </w:r>
          </w:p>
        </w:tc>
      </w:tr>
      <w:tr w14:paraId="7D37A42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077" w:hRule="atLeast"/>
          <w:jc w:val="center"/>
        </w:trPr>
        <w:tc>
          <w:tcPr>
            <w:tcW w:w="594" w:type="dxa"/>
            <w:vAlign w:val="center"/>
          </w:tcPr>
          <w:p w14:paraId="03D21654">
            <w:pPr>
              <w:keepNext w:val="0"/>
              <w:keepLines w:val="0"/>
              <w:pageBreakBefore w:val="0"/>
              <w:numPr>
                <w:ilvl w:val="0"/>
                <w:numId w:val="2"/>
              </w:numPr>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Cs w:val="21"/>
                <w:lang w:eastAsia="zh-CN"/>
              </w:rPr>
            </w:pPr>
          </w:p>
        </w:tc>
        <w:tc>
          <w:tcPr>
            <w:tcW w:w="1313" w:type="dxa"/>
            <w:vAlign w:val="center"/>
          </w:tcPr>
          <w:p w14:paraId="3791CCA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固定资产投资项目节能报告技术评估、评审</w:t>
            </w:r>
          </w:p>
        </w:tc>
        <w:tc>
          <w:tcPr>
            <w:tcW w:w="1648" w:type="dxa"/>
            <w:vAlign w:val="center"/>
          </w:tcPr>
          <w:p w14:paraId="1817083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固定资产投资项目节能审查</w:t>
            </w:r>
          </w:p>
        </w:tc>
        <w:tc>
          <w:tcPr>
            <w:tcW w:w="6525" w:type="dxa"/>
            <w:vAlign w:val="center"/>
          </w:tcPr>
          <w:p w14:paraId="1C5B1A2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中华人民共和国节约能源法》第十五条：国家实行固定资产投资项目节能评估和审查制度。不符合强制性节能标准的项目，建设单位不得开工建设；已经建成的，不得投入生产、使用。政府投资项目不符合强制性节能标准的，依法负责项目审批的机关不得批准建设。具体办法由国务院管理节能工作的部门会同国务院有关部门制定。</w:t>
            </w:r>
          </w:p>
          <w:p w14:paraId="0713DF7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《固定资产投资项目节能审查办法》（国家发展改革委令2016年第44号）第八条：节能审查机关受理节能报告后，应委托有关机构进行评审，形成评审意见，作为节能审查的重要依据。</w:t>
            </w:r>
          </w:p>
          <w:p w14:paraId="44D657A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《湖北省固定资产投资项目节能审查实施办法》(湖北省发展和改革委员会 鄂发改规[2017]3号)第六条:建设单位申请节能审查，应编制固定资产投资项目节能报告。第七条:全省各级发展改革部门受理节能报告后，应委托有关机构进行评审，形成评审意见，作为节能审查的重要依据。</w:t>
            </w:r>
          </w:p>
        </w:tc>
        <w:tc>
          <w:tcPr>
            <w:tcW w:w="1110" w:type="dxa"/>
            <w:vAlign w:val="center"/>
          </w:tcPr>
          <w:p w14:paraId="4594C246">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eastAsia="zh-CN"/>
              </w:rPr>
              <w:t>梁子湖区</w:t>
            </w:r>
          </w:p>
          <w:p w14:paraId="50898EC4">
            <w:pPr>
              <w:keepNext w:val="0"/>
              <w:keepLines w:val="0"/>
              <w:pageBreakBefore w:val="0"/>
              <w:kinsoku/>
              <w:wordWrap/>
              <w:overflowPunct/>
              <w:topLinePunct w:val="0"/>
              <w:autoSpaceDE/>
              <w:autoSpaceDN/>
              <w:bidi w:val="0"/>
              <w:adjustRightInd/>
              <w:snapToGrid/>
              <w:spacing w:line="280" w:lineRule="exact"/>
              <w:ind w:left="0" w:leftChars="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发改经信局</w:t>
            </w:r>
          </w:p>
        </w:tc>
        <w:tc>
          <w:tcPr>
            <w:tcW w:w="1367" w:type="dxa"/>
            <w:vAlign w:val="center"/>
          </w:tcPr>
          <w:p w14:paraId="5B8BA38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已备案且具有相应资质的咨询机构</w:t>
            </w:r>
          </w:p>
        </w:tc>
        <w:tc>
          <w:tcPr>
            <w:tcW w:w="1153" w:type="dxa"/>
            <w:vAlign w:val="center"/>
          </w:tcPr>
          <w:p w14:paraId="405C3B5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7个工作日</w:t>
            </w:r>
          </w:p>
        </w:tc>
        <w:tc>
          <w:tcPr>
            <w:tcW w:w="1165" w:type="dxa"/>
            <w:vAlign w:val="center"/>
          </w:tcPr>
          <w:p w14:paraId="4894EAC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按照部门专项预算，通过竞争方式选择的中介机构提供服务</w:t>
            </w:r>
          </w:p>
        </w:tc>
        <w:tc>
          <w:tcPr>
            <w:tcW w:w="1159" w:type="dxa"/>
            <w:vAlign w:val="center"/>
          </w:tcPr>
          <w:p w14:paraId="05051FF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由审批部门委托通过竞争方式选择的相关机构为其审批提供技术咨询服务</w:t>
            </w:r>
          </w:p>
        </w:tc>
      </w:tr>
      <w:tr w14:paraId="021D5A6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2041" w:hRule="atLeast"/>
          <w:jc w:val="center"/>
        </w:trPr>
        <w:tc>
          <w:tcPr>
            <w:tcW w:w="594" w:type="dxa"/>
            <w:vAlign w:val="center"/>
          </w:tcPr>
          <w:p w14:paraId="7192D339">
            <w:pPr>
              <w:keepNext w:val="0"/>
              <w:keepLines w:val="0"/>
              <w:pageBreakBefore w:val="0"/>
              <w:numPr>
                <w:ilvl w:val="0"/>
                <w:numId w:val="2"/>
              </w:numPr>
              <w:kinsoku/>
              <w:wordWrap/>
              <w:overflowPunct/>
              <w:topLinePunct w:val="0"/>
              <w:autoSpaceDE/>
              <w:autoSpaceDN/>
              <w:bidi w:val="0"/>
              <w:adjustRightInd/>
              <w:snapToGrid/>
              <w:spacing w:line="280" w:lineRule="exact"/>
              <w:ind w:left="0" w:leftChars="0" w:firstLine="0" w:firstLineChars="0"/>
              <w:jc w:val="center"/>
              <w:rPr>
                <w:rFonts w:hint="default" w:ascii="仿宋_GB2312" w:hAnsi="仿宋_GB2312" w:eastAsia="仿宋_GB2312" w:cs="仿宋_GB2312"/>
                <w:color w:val="auto"/>
                <w:szCs w:val="21"/>
                <w:lang w:val="en-US" w:eastAsia="zh-CN"/>
              </w:rPr>
            </w:pPr>
          </w:p>
        </w:tc>
        <w:tc>
          <w:tcPr>
            <w:tcW w:w="1313" w:type="dxa"/>
            <w:vAlign w:val="center"/>
          </w:tcPr>
          <w:p w14:paraId="7FA2FC8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防雷装置设计图技术评价</w:t>
            </w:r>
          </w:p>
        </w:tc>
        <w:tc>
          <w:tcPr>
            <w:tcW w:w="1648" w:type="dxa"/>
            <w:vAlign w:val="center"/>
          </w:tcPr>
          <w:p w14:paraId="33D24CC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防雷装置设计审核</w:t>
            </w:r>
          </w:p>
        </w:tc>
        <w:tc>
          <w:tcPr>
            <w:tcW w:w="6525" w:type="dxa"/>
            <w:vAlign w:val="center"/>
          </w:tcPr>
          <w:p w14:paraId="2E15871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防雷装置设计审核和竣工验收规定》（中国气象局令第37号）第九条：气象主管机构受理后，应当委托有关机构开展雷电防护装置设计技术评价；《国务院关于第一批清理规范89项国务院部门行政审批中介服务事项的决定》（国发〔2015〕58号）第70项：不再要求申请人提供防雷装置设计技术评价报告，改由审批部门委托有关机构开展防雷装置设计技术评价。</w:t>
            </w:r>
          </w:p>
        </w:tc>
        <w:tc>
          <w:tcPr>
            <w:tcW w:w="1110" w:type="dxa"/>
            <w:vAlign w:val="center"/>
          </w:tcPr>
          <w:p w14:paraId="1107B281">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eastAsia="zh-CN"/>
              </w:rPr>
              <w:t>梁子湖区</w:t>
            </w:r>
          </w:p>
          <w:p w14:paraId="5F6BD03E">
            <w:pPr>
              <w:keepNext w:val="0"/>
              <w:keepLines w:val="0"/>
              <w:pageBreakBefore w:val="0"/>
              <w:kinsoku/>
              <w:wordWrap/>
              <w:overflowPunct/>
              <w:topLinePunct w:val="0"/>
              <w:autoSpaceDE/>
              <w:autoSpaceDN/>
              <w:bidi w:val="0"/>
              <w:adjustRightInd/>
              <w:snapToGrid/>
              <w:spacing w:line="280" w:lineRule="exact"/>
              <w:ind w:left="0" w:leftChars="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气象局</w:t>
            </w:r>
          </w:p>
        </w:tc>
        <w:tc>
          <w:tcPr>
            <w:tcW w:w="1367" w:type="dxa"/>
            <w:vAlign w:val="center"/>
          </w:tcPr>
          <w:p w14:paraId="344C40B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具备相应资质的防雷技术服务机构</w:t>
            </w:r>
          </w:p>
        </w:tc>
        <w:tc>
          <w:tcPr>
            <w:tcW w:w="1153" w:type="dxa"/>
            <w:vAlign w:val="center"/>
          </w:tcPr>
          <w:p w14:paraId="724E93E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5个工作日（报建单位施工图设计变更时间不计入）</w:t>
            </w:r>
          </w:p>
        </w:tc>
        <w:tc>
          <w:tcPr>
            <w:tcW w:w="1165" w:type="dxa"/>
            <w:vAlign w:val="center"/>
          </w:tcPr>
          <w:p w14:paraId="3B1213A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按照部门专项预算，通过竞争方式选择的中介机构提供服务</w:t>
            </w:r>
          </w:p>
        </w:tc>
        <w:tc>
          <w:tcPr>
            <w:tcW w:w="1159" w:type="dxa"/>
            <w:vAlign w:val="center"/>
          </w:tcPr>
          <w:p w14:paraId="26AD421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由审批部门委托通过竞争方式选择的相关机构为其审批提供技术咨询服务</w:t>
            </w:r>
          </w:p>
        </w:tc>
      </w:tr>
      <w:tr w14:paraId="7B16062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345" w:hRule="atLeast"/>
          <w:jc w:val="center"/>
        </w:trPr>
        <w:tc>
          <w:tcPr>
            <w:tcW w:w="594" w:type="dxa"/>
            <w:vAlign w:val="center"/>
          </w:tcPr>
          <w:p w14:paraId="35E2C131">
            <w:pPr>
              <w:keepNext w:val="0"/>
              <w:keepLines w:val="0"/>
              <w:pageBreakBefore w:val="0"/>
              <w:numPr>
                <w:ilvl w:val="0"/>
                <w:numId w:val="2"/>
              </w:numPr>
              <w:kinsoku/>
              <w:wordWrap/>
              <w:overflowPunct/>
              <w:topLinePunct w:val="0"/>
              <w:autoSpaceDE/>
              <w:autoSpaceDN/>
              <w:bidi w:val="0"/>
              <w:adjustRightInd/>
              <w:snapToGrid/>
              <w:spacing w:line="280" w:lineRule="exact"/>
              <w:ind w:left="0" w:leftChars="0" w:firstLine="0" w:firstLineChars="0"/>
              <w:jc w:val="center"/>
              <w:rPr>
                <w:rFonts w:hint="default" w:ascii="仿宋_GB2312" w:hAnsi="仿宋_GB2312" w:eastAsia="仿宋_GB2312" w:cs="仿宋_GB2312"/>
                <w:color w:val="auto"/>
                <w:szCs w:val="21"/>
                <w:lang w:val="en-US" w:eastAsia="zh-CN"/>
              </w:rPr>
            </w:pPr>
          </w:p>
        </w:tc>
        <w:tc>
          <w:tcPr>
            <w:tcW w:w="1313" w:type="dxa"/>
            <w:vAlign w:val="center"/>
          </w:tcPr>
          <w:p w14:paraId="2494974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新建、改建、扩建建（构）筑物防雷装置检测</w:t>
            </w:r>
          </w:p>
        </w:tc>
        <w:tc>
          <w:tcPr>
            <w:tcW w:w="1648" w:type="dxa"/>
            <w:vAlign w:val="center"/>
          </w:tcPr>
          <w:p w14:paraId="23A844D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防雷装置竣工验收</w:t>
            </w:r>
          </w:p>
        </w:tc>
        <w:tc>
          <w:tcPr>
            <w:tcW w:w="6525" w:type="dxa"/>
            <w:vAlign w:val="center"/>
          </w:tcPr>
          <w:p w14:paraId="16B1BD6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《防雷装置设计审核和竣工验收规定》（中国气象局令第37号）第十四条：气象主管机构受理后，应当委托取得雷电防护装置检测资质的单位开展雷电防护装置检测；《国务院关于第二批清理规范192项 国务院部门行政审批中介服务事项的决定》（国发〔2016〕11号）第95项：不再要求申请人提供新建、改建、扩建建（构）筑物防雷装置检测报告，改由审批部门委托有关机构开展新建、改建、扩建建（构）筑物防雷装置检测。</w:t>
            </w:r>
          </w:p>
        </w:tc>
        <w:tc>
          <w:tcPr>
            <w:tcW w:w="1110" w:type="dxa"/>
            <w:vAlign w:val="center"/>
          </w:tcPr>
          <w:p w14:paraId="630C93E0">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eastAsia="zh-CN"/>
              </w:rPr>
              <w:t>梁子湖区</w:t>
            </w:r>
          </w:p>
          <w:p w14:paraId="69275544">
            <w:pPr>
              <w:keepNext w:val="0"/>
              <w:keepLines w:val="0"/>
              <w:pageBreakBefore w:val="0"/>
              <w:kinsoku/>
              <w:wordWrap/>
              <w:overflowPunct/>
              <w:topLinePunct w:val="0"/>
              <w:autoSpaceDE/>
              <w:autoSpaceDN/>
              <w:bidi w:val="0"/>
              <w:adjustRightInd/>
              <w:snapToGrid/>
              <w:spacing w:line="280" w:lineRule="exact"/>
              <w:ind w:left="0" w:leftChars="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气象局</w:t>
            </w:r>
          </w:p>
        </w:tc>
        <w:tc>
          <w:tcPr>
            <w:tcW w:w="1367" w:type="dxa"/>
            <w:vAlign w:val="center"/>
          </w:tcPr>
          <w:p w14:paraId="20D4194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取得相应防雷装置检测资质的单位</w:t>
            </w:r>
          </w:p>
        </w:tc>
        <w:tc>
          <w:tcPr>
            <w:tcW w:w="1153" w:type="dxa"/>
            <w:vAlign w:val="center"/>
          </w:tcPr>
          <w:p w14:paraId="5CBC2E0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5个工作日（恶劣天气顺延）</w:t>
            </w:r>
          </w:p>
        </w:tc>
        <w:tc>
          <w:tcPr>
            <w:tcW w:w="1165" w:type="dxa"/>
            <w:vAlign w:val="center"/>
          </w:tcPr>
          <w:p w14:paraId="76423F3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按照部门专项预算，通过竞争方式选择的中介机构提供服务</w:t>
            </w:r>
          </w:p>
        </w:tc>
        <w:tc>
          <w:tcPr>
            <w:tcW w:w="1159" w:type="dxa"/>
            <w:vAlign w:val="center"/>
          </w:tcPr>
          <w:p w14:paraId="5C9ABCA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由审批部门委托通过竞争方式选择的相关机构为其审批提供技术咨询服务</w:t>
            </w:r>
          </w:p>
        </w:tc>
      </w:tr>
      <w:tr w14:paraId="64241AA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0" w:hRule="atLeast"/>
          <w:jc w:val="center"/>
        </w:trPr>
        <w:tc>
          <w:tcPr>
            <w:tcW w:w="594" w:type="dxa"/>
            <w:vAlign w:val="center"/>
          </w:tcPr>
          <w:p w14:paraId="2EF43FFF">
            <w:pPr>
              <w:keepNext w:val="0"/>
              <w:keepLines w:val="0"/>
              <w:pageBreakBefore w:val="0"/>
              <w:widowControl/>
              <w:numPr>
                <w:ilvl w:val="0"/>
                <w:numId w:val="2"/>
              </w:numPr>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仿宋_GB2312" w:hAnsi="仿宋_GB2312" w:eastAsia="仿宋_GB2312" w:cs="仿宋_GB2312"/>
                <w:color w:val="auto"/>
                <w:szCs w:val="21"/>
                <w:lang w:val="en-US" w:eastAsia="zh-CN"/>
              </w:rPr>
            </w:pPr>
          </w:p>
        </w:tc>
        <w:tc>
          <w:tcPr>
            <w:tcW w:w="1313" w:type="dxa"/>
            <w:vAlign w:val="center"/>
          </w:tcPr>
          <w:p w14:paraId="7BB68858">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公路水运初步设计、施工图设计技术性审查咨询</w:t>
            </w:r>
          </w:p>
        </w:tc>
        <w:tc>
          <w:tcPr>
            <w:tcW w:w="1648" w:type="dxa"/>
            <w:vAlign w:val="center"/>
          </w:tcPr>
          <w:p w14:paraId="04E411A7">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公路水运建设项目</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设计文件审批（市管公路水运建设项目）</w:t>
            </w:r>
          </w:p>
        </w:tc>
        <w:tc>
          <w:tcPr>
            <w:tcW w:w="6525" w:type="dxa"/>
            <w:vAlign w:val="center"/>
          </w:tcPr>
          <w:p w14:paraId="17ED58B8">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港口工程建设管理规定(交通运输部令2018年第42号)第十九条 对于技术复杂、难度较大、风险较大的港口工程建设项目，交通运输主管部门或者所在地港口行政管理部门在审批初步设计前应当委托另一设计单位进行技术审查咨询。受委托的设计单位资质等级应当不低于原初步设计文件编制单位资质等级。</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所在地港口行政管理部门在审批施工图设计前可以委托另一设计单位进行技术审查咨询。受委托的设计单位资质等级应当不低于原施工图设计文件编制单位资质等级。</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《建设工程勘察设计管理条例》(国务院令2000年第293号发布，国务院令2017年第687号最后修订</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《建设工程质量管理条例》(国务院令2000年第279号，国务院令2019年第714号最后修订)</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《关于公路工程基本建设项目设计审批有关问题的通知》(厅公路字[2003]439号)</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 xml:space="preserve">《关于进一步加强公路勘察设计工作的若干意见》(交公路发[2011]504号)    </w:t>
            </w:r>
          </w:p>
        </w:tc>
        <w:tc>
          <w:tcPr>
            <w:tcW w:w="1110" w:type="dxa"/>
            <w:vAlign w:val="center"/>
          </w:tcPr>
          <w:p w14:paraId="030447AE">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eastAsia="zh-CN" w:bidi="ar"/>
              </w:rPr>
              <w:t>梁子湖区</w:t>
            </w:r>
            <w:r>
              <w:rPr>
                <w:rFonts w:hint="eastAsia" w:ascii="仿宋_GB2312" w:hAnsi="仿宋_GB2312" w:eastAsia="仿宋_GB2312" w:cs="仿宋_GB2312"/>
                <w:color w:val="auto"/>
                <w:kern w:val="0"/>
                <w:szCs w:val="21"/>
                <w:lang w:bidi="ar"/>
              </w:rPr>
              <w:t>交通运输局</w:t>
            </w:r>
          </w:p>
        </w:tc>
        <w:tc>
          <w:tcPr>
            <w:tcW w:w="1367" w:type="dxa"/>
            <w:vAlign w:val="center"/>
          </w:tcPr>
          <w:p w14:paraId="07B16B37">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具有资质(不低于项目设计单位资质)的咨询设计机构</w:t>
            </w:r>
          </w:p>
        </w:tc>
        <w:tc>
          <w:tcPr>
            <w:tcW w:w="1153" w:type="dxa"/>
            <w:vAlign w:val="center"/>
          </w:tcPr>
          <w:p w14:paraId="7108AE7F">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双方协商确定</w:t>
            </w:r>
          </w:p>
        </w:tc>
        <w:tc>
          <w:tcPr>
            <w:tcW w:w="1165" w:type="dxa"/>
            <w:vAlign w:val="center"/>
          </w:tcPr>
          <w:p w14:paraId="68574763">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sz w:val="21"/>
                <w:szCs w:val="21"/>
              </w:rPr>
              <w:t>按照部门专项预算，通过竞争方式选择的中介机构提供服务</w:t>
            </w:r>
          </w:p>
        </w:tc>
        <w:tc>
          <w:tcPr>
            <w:tcW w:w="1159" w:type="dxa"/>
            <w:vAlign w:val="center"/>
          </w:tcPr>
          <w:p w14:paraId="1AED7567">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由审批部门委托通过竞争方式选择的相关机构为其审批提供技术咨询服务</w:t>
            </w:r>
          </w:p>
        </w:tc>
      </w:tr>
      <w:tr w14:paraId="37803DD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843" w:hRule="atLeast"/>
          <w:jc w:val="center"/>
        </w:trPr>
        <w:tc>
          <w:tcPr>
            <w:tcW w:w="594" w:type="dxa"/>
            <w:vAlign w:val="center"/>
          </w:tcPr>
          <w:p w14:paraId="40E87F56">
            <w:pPr>
              <w:keepNext w:val="0"/>
              <w:keepLines w:val="0"/>
              <w:pageBreakBefore w:val="0"/>
              <w:widowControl/>
              <w:numPr>
                <w:ilvl w:val="0"/>
                <w:numId w:val="2"/>
              </w:numPr>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仿宋_GB2312" w:hAnsi="仿宋_GB2312" w:eastAsia="仿宋_GB2312" w:cs="仿宋_GB2312"/>
                <w:color w:val="auto"/>
                <w:szCs w:val="21"/>
                <w:lang w:val="en-US" w:eastAsia="zh-CN"/>
              </w:rPr>
            </w:pPr>
          </w:p>
        </w:tc>
        <w:tc>
          <w:tcPr>
            <w:tcW w:w="1313" w:type="dxa"/>
            <w:vAlign w:val="center"/>
          </w:tcPr>
          <w:p w14:paraId="6F3DC6EA">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公路工程质量检测</w:t>
            </w:r>
          </w:p>
        </w:tc>
        <w:tc>
          <w:tcPr>
            <w:tcW w:w="1648" w:type="dxa"/>
            <w:vAlign w:val="center"/>
          </w:tcPr>
          <w:p w14:paraId="08D332C9">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公路水运建设项目竣工验收</w:t>
            </w:r>
          </w:p>
        </w:tc>
        <w:tc>
          <w:tcPr>
            <w:tcW w:w="6525" w:type="dxa"/>
            <w:vAlign w:val="center"/>
          </w:tcPr>
          <w:p w14:paraId="36FE8A55">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港口工程建设管理规定(部令2018年第42号) 第四十九条 申请或者组织竣工验收前，项目单位应当组织编制竣工验收报告，竣工验收报告应当包括以下内容： （一）项目单位工作报告；（二）设计、施工、监理等单位的工作报告；（三）质量监督机构出具的交工质量核验意见；（四）试运行报告；（五）竣工决算报告（按照国家有关规定需要审计的，应当包括竣工决算审计报告）；（六）环境保护设施、安全设施、职业病防护设施、消防设施已按照有关部门规定通过验收或者备案的相关文件；</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公路工程竣交工验收办法实施细则（交公路发〔2010〕65号） 第十三条  公路工程竣工验收应具备以下条件：（一）通车试运营2年以上。（二）交工验收提出的工程质量缺陷等遗留问题已全部处理完毕，并经项目法人验收合格。（三）工程决算编制完成，竣工决算已经审计，并经交通运输主管部门或其授权单位认定。（四）竣工文件已完成“公路工程项目文件归档范围”的全部内容。</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（五）档案、环保等单项验收合格，土地使用手续已办理。</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（六）各参建单位完成工作总结报告。</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（七）质量监督机构对工程质量检测鉴定合格，并形成工程质量鉴定报告。</w:t>
            </w:r>
          </w:p>
        </w:tc>
        <w:tc>
          <w:tcPr>
            <w:tcW w:w="1110" w:type="dxa"/>
            <w:vAlign w:val="center"/>
          </w:tcPr>
          <w:p w14:paraId="3824E835">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eastAsia="zh-CN" w:bidi="ar"/>
              </w:rPr>
              <w:t>梁子湖区</w:t>
            </w:r>
            <w:r>
              <w:rPr>
                <w:rFonts w:hint="eastAsia" w:ascii="仿宋_GB2312" w:hAnsi="仿宋_GB2312" w:eastAsia="仿宋_GB2312" w:cs="仿宋_GB2312"/>
                <w:color w:val="auto"/>
                <w:kern w:val="0"/>
                <w:szCs w:val="21"/>
                <w:lang w:bidi="ar"/>
              </w:rPr>
              <w:t>交通运输局</w:t>
            </w:r>
          </w:p>
        </w:tc>
        <w:tc>
          <w:tcPr>
            <w:tcW w:w="1367" w:type="dxa"/>
            <w:vAlign w:val="center"/>
          </w:tcPr>
          <w:p w14:paraId="24D4F391">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具有相应资质的检测机构</w:t>
            </w:r>
          </w:p>
        </w:tc>
        <w:tc>
          <w:tcPr>
            <w:tcW w:w="1153" w:type="dxa"/>
            <w:vAlign w:val="center"/>
          </w:tcPr>
          <w:p w14:paraId="6BE3993B">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双方协商确定</w:t>
            </w:r>
          </w:p>
        </w:tc>
        <w:tc>
          <w:tcPr>
            <w:tcW w:w="1165" w:type="dxa"/>
            <w:vAlign w:val="center"/>
          </w:tcPr>
          <w:p w14:paraId="0E0BF421">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sz w:val="21"/>
                <w:szCs w:val="21"/>
              </w:rPr>
              <w:t>按照部门专项预算，通过竞争方式选择的中介机构提供服务</w:t>
            </w:r>
          </w:p>
        </w:tc>
        <w:tc>
          <w:tcPr>
            <w:tcW w:w="1159" w:type="dxa"/>
            <w:vAlign w:val="center"/>
          </w:tcPr>
          <w:p w14:paraId="3E805F1C">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由审批部门委托通过竞争方式选择的相关机构为其审批提供技术咨询服务</w:t>
            </w:r>
          </w:p>
        </w:tc>
      </w:tr>
      <w:tr w14:paraId="7111E52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5183" w:hRule="atLeast"/>
          <w:jc w:val="center"/>
        </w:trPr>
        <w:tc>
          <w:tcPr>
            <w:tcW w:w="594" w:type="dxa"/>
            <w:vAlign w:val="center"/>
          </w:tcPr>
          <w:p w14:paraId="6931956E">
            <w:pPr>
              <w:keepNext w:val="0"/>
              <w:keepLines w:val="0"/>
              <w:pageBreakBefore w:val="0"/>
              <w:widowControl/>
              <w:numPr>
                <w:ilvl w:val="0"/>
                <w:numId w:val="2"/>
              </w:numPr>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_GB2312" w:hAnsi="仿宋_GB2312" w:eastAsia="仿宋_GB2312" w:cs="仿宋_GB2312"/>
                <w:color w:val="auto"/>
                <w:szCs w:val="21"/>
                <w:lang w:eastAsia="zh-CN"/>
              </w:rPr>
            </w:pPr>
          </w:p>
        </w:tc>
        <w:tc>
          <w:tcPr>
            <w:tcW w:w="1313" w:type="dxa"/>
            <w:vAlign w:val="center"/>
          </w:tcPr>
          <w:p w14:paraId="41937368">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水运工程质量检测</w:t>
            </w:r>
          </w:p>
        </w:tc>
        <w:tc>
          <w:tcPr>
            <w:tcW w:w="1648" w:type="dxa"/>
            <w:vAlign w:val="center"/>
          </w:tcPr>
          <w:p w14:paraId="234EB707">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公路水运建设项目竣工验收</w:t>
            </w:r>
          </w:p>
        </w:tc>
        <w:tc>
          <w:tcPr>
            <w:tcW w:w="6525" w:type="dxa"/>
            <w:vAlign w:val="center"/>
          </w:tcPr>
          <w:p w14:paraId="7AF33005">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港口工程建设管理规定(部令2018年第42号) 第四十九条 申请或者组织竣工验收前，项目单位应当组织编制竣工验收报告，竣工验收报告应当包括以下内容： （一）项目单位工作报告；（二）设计、施工、监理等单位的工作报告； （三）质量监督机构出具的交工质量核验意见；（四）试运行报告；（五）竣工决算报告（按照国家有关规定需要审计的，应当包括竣工决算审计报告）；（六）环境保护设施、安全设施、职业病防护设施、消防设施已按照有关部门规定通过验收或者备案的相关文件；</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公路工程竣交工验收办法实施细则（交公路发〔2010〕65号） 第十三条  公路工程竣工验收应具备以下条件：</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（一）通车试运营3年以上。</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（二）交工验收提出的工程质量缺陷等遗留问题已全部处理完毕，并经项目法人验收合格。</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（三）工程决算编制完成，竣工决算已经审计，并经交通运输主管部门或其授权单位认定。</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（四）竣工文件已完成“公路工程项目文件归档范围”的全部内容。</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（五）档案、环保等单项验收合格，土地使用手续已办理。</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（六）各参建单位完成工作总结报告。</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（七）质量监督机构对工程质量检测鉴定合格，并形成工程质量鉴定报告。</w:t>
            </w:r>
          </w:p>
        </w:tc>
        <w:tc>
          <w:tcPr>
            <w:tcW w:w="1110" w:type="dxa"/>
            <w:vAlign w:val="center"/>
          </w:tcPr>
          <w:p w14:paraId="2E17ADA3">
            <w:pPr>
              <w:keepNext w:val="0"/>
              <w:keepLines w:val="0"/>
              <w:pageBreakBefore w:val="0"/>
              <w:widowControl/>
              <w:kinsoku/>
              <w:wordWrap/>
              <w:overflowPunct/>
              <w:topLinePunct w:val="0"/>
              <w:autoSpaceDE/>
              <w:autoSpaceDN/>
              <w:bidi w:val="0"/>
              <w:adjustRightInd/>
              <w:snapToGrid/>
              <w:spacing w:line="280" w:lineRule="exact"/>
              <w:ind w:left="0" w:leftChars="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eastAsia="zh-CN" w:bidi="ar"/>
              </w:rPr>
              <w:t>梁子湖区</w:t>
            </w:r>
            <w:r>
              <w:rPr>
                <w:rFonts w:hint="eastAsia" w:ascii="仿宋_GB2312" w:hAnsi="仿宋_GB2312" w:eastAsia="仿宋_GB2312" w:cs="仿宋_GB2312"/>
                <w:color w:val="auto"/>
                <w:kern w:val="0"/>
                <w:szCs w:val="21"/>
                <w:lang w:bidi="ar"/>
              </w:rPr>
              <w:t>交通运输局</w:t>
            </w:r>
          </w:p>
        </w:tc>
        <w:tc>
          <w:tcPr>
            <w:tcW w:w="1367" w:type="dxa"/>
            <w:vAlign w:val="center"/>
          </w:tcPr>
          <w:p w14:paraId="6906F65D">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具有相应资质的检测机构</w:t>
            </w:r>
          </w:p>
        </w:tc>
        <w:tc>
          <w:tcPr>
            <w:tcW w:w="1153" w:type="dxa"/>
            <w:vAlign w:val="center"/>
          </w:tcPr>
          <w:p w14:paraId="561F6C8B">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双方协商确定</w:t>
            </w:r>
          </w:p>
        </w:tc>
        <w:tc>
          <w:tcPr>
            <w:tcW w:w="1165" w:type="dxa"/>
            <w:vAlign w:val="center"/>
          </w:tcPr>
          <w:p w14:paraId="2823D7A1">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sz w:val="21"/>
                <w:szCs w:val="21"/>
              </w:rPr>
              <w:t>按照部门专项预算，通过竞争方式选择的中介机构提供服务</w:t>
            </w:r>
          </w:p>
        </w:tc>
        <w:tc>
          <w:tcPr>
            <w:tcW w:w="1159" w:type="dxa"/>
            <w:vAlign w:val="center"/>
          </w:tcPr>
          <w:p w14:paraId="2CAABCB5">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由审批部门委托通过竞争方式选择的相关机构为其审批提供技术咨询服务</w:t>
            </w:r>
          </w:p>
        </w:tc>
      </w:tr>
      <w:tr w14:paraId="043A494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581" w:hRule="atLeast"/>
          <w:jc w:val="center"/>
        </w:trPr>
        <w:tc>
          <w:tcPr>
            <w:tcW w:w="594" w:type="dxa"/>
            <w:vAlign w:val="center"/>
          </w:tcPr>
          <w:p w14:paraId="7752BAE4">
            <w:pPr>
              <w:keepNext w:val="0"/>
              <w:keepLines w:val="0"/>
              <w:pageBreakBefore w:val="0"/>
              <w:widowControl/>
              <w:numPr>
                <w:ilvl w:val="0"/>
                <w:numId w:val="2"/>
              </w:numPr>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_GB2312" w:hAnsi="仿宋_GB2312" w:eastAsia="仿宋_GB2312" w:cs="仿宋_GB2312"/>
                <w:color w:val="auto"/>
                <w:kern w:val="0"/>
                <w:szCs w:val="21"/>
                <w:lang w:eastAsia="zh-CN" w:bidi="ar"/>
              </w:rPr>
            </w:pPr>
          </w:p>
        </w:tc>
        <w:tc>
          <w:tcPr>
            <w:tcW w:w="1313" w:type="dxa"/>
            <w:vAlign w:val="center"/>
          </w:tcPr>
          <w:p w14:paraId="6EEFF794">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排污许可申请评估</w:t>
            </w:r>
          </w:p>
        </w:tc>
        <w:tc>
          <w:tcPr>
            <w:tcW w:w="1648" w:type="dxa"/>
            <w:vAlign w:val="center"/>
          </w:tcPr>
          <w:p w14:paraId="6AAD95AC">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排污许可证核发</w:t>
            </w:r>
          </w:p>
        </w:tc>
        <w:tc>
          <w:tcPr>
            <w:tcW w:w="6525" w:type="dxa"/>
            <w:vAlign w:val="center"/>
          </w:tcPr>
          <w:p w14:paraId="1A9B86F1">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《排污许可管理条例》第十条第二款 审批部门可以组织技术机构对排污许可证申请材料进行技术评估，并承担相应费用。</w:t>
            </w:r>
          </w:p>
        </w:tc>
        <w:tc>
          <w:tcPr>
            <w:tcW w:w="1110" w:type="dxa"/>
            <w:vAlign w:val="center"/>
          </w:tcPr>
          <w:p w14:paraId="4119F4F1">
            <w:pPr>
              <w:keepNext w:val="0"/>
              <w:keepLines w:val="0"/>
              <w:pageBreakBefore w:val="0"/>
              <w:widowControl/>
              <w:kinsoku/>
              <w:wordWrap/>
              <w:overflowPunct/>
              <w:topLinePunct w:val="0"/>
              <w:autoSpaceDE/>
              <w:autoSpaceDN/>
              <w:bidi w:val="0"/>
              <w:adjustRightInd/>
              <w:snapToGrid/>
              <w:spacing w:line="280" w:lineRule="exact"/>
              <w:ind w:left="0" w:leftChars="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eastAsia="zh-CN" w:bidi="ar"/>
              </w:rPr>
              <w:t>梁子湖区生态环境分局</w:t>
            </w:r>
          </w:p>
        </w:tc>
        <w:tc>
          <w:tcPr>
            <w:tcW w:w="1367" w:type="dxa"/>
            <w:vAlign w:val="center"/>
          </w:tcPr>
          <w:p w14:paraId="26FAE8CD">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具有相应能力的技术机构</w:t>
            </w:r>
          </w:p>
        </w:tc>
        <w:tc>
          <w:tcPr>
            <w:tcW w:w="1153" w:type="dxa"/>
            <w:vAlign w:val="center"/>
          </w:tcPr>
          <w:p w14:paraId="406D867E">
            <w:pPr>
              <w:pStyle w:val="14"/>
              <w:keepNext w:val="0"/>
              <w:keepLines w:val="0"/>
              <w:pageBreakBefore w:val="0"/>
              <w:kinsoku/>
              <w:wordWrap/>
              <w:overflowPunct/>
              <w:topLinePunct w:val="0"/>
              <w:autoSpaceDE/>
              <w:autoSpaceDN/>
              <w:bidi w:val="0"/>
              <w:adjustRightInd/>
              <w:snapToGrid/>
              <w:spacing w:line="280" w:lineRule="exact"/>
              <w:ind w:left="0"/>
              <w:jc w:val="both"/>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双方协商</w:t>
            </w:r>
          </w:p>
          <w:p w14:paraId="4A55E8FB">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sz w:val="21"/>
                <w:szCs w:val="21"/>
                <w:lang w:eastAsia="zh-CN"/>
              </w:rPr>
              <w:t>合同约定</w:t>
            </w:r>
          </w:p>
        </w:tc>
        <w:tc>
          <w:tcPr>
            <w:tcW w:w="1165" w:type="dxa"/>
            <w:vAlign w:val="center"/>
          </w:tcPr>
          <w:p w14:paraId="3DAF3B1D">
            <w:pPr>
              <w:pStyle w:val="14"/>
              <w:keepNext w:val="0"/>
              <w:keepLines w:val="0"/>
              <w:pageBreakBefore w:val="0"/>
              <w:kinsoku/>
              <w:wordWrap/>
              <w:overflowPunct/>
              <w:topLinePunct w:val="0"/>
              <w:autoSpaceDE/>
              <w:autoSpaceDN/>
              <w:bidi w:val="0"/>
              <w:adjustRightInd/>
              <w:snapToGrid/>
              <w:spacing w:line="280" w:lineRule="exact"/>
              <w:ind w:left="0"/>
              <w:jc w:val="both"/>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双方协商</w:t>
            </w:r>
          </w:p>
          <w:p w14:paraId="1AFCA02F">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sz w:val="21"/>
                <w:szCs w:val="21"/>
                <w:lang w:eastAsia="zh-CN"/>
              </w:rPr>
              <w:t>合同约定</w:t>
            </w:r>
          </w:p>
        </w:tc>
        <w:tc>
          <w:tcPr>
            <w:tcW w:w="1159" w:type="dxa"/>
            <w:vAlign w:val="center"/>
          </w:tcPr>
          <w:p w14:paraId="3CFC713C">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p>
        </w:tc>
      </w:tr>
      <w:tr w14:paraId="33CC05C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3492" w:hRule="atLeast"/>
          <w:jc w:val="center"/>
        </w:trPr>
        <w:tc>
          <w:tcPr>
            <w:tcW w:w="594" w:type="dxa"/>
            <w:vAlign w:val="center"/>
          </w:tcPr>
          <w:p w14:paraId="1297EB4B">
            <w:pPr>
              <w:keepNext w:val="0"/>
              <w:keepLines w:val="0"/>
              <w:pageBreakBefore w:val="0"/>
              <w:widowControl/>
              <w:numPr>
                <w:ilvl w:val="0"/>
                <w:numId w:val="2"/>
              </w:numPr>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_GB2312" w:hAnsi="仿宋_GB2312" w:eastAsia="仿宋_GB2312" w:cs="仿宋_GB2312"/>
                <w:color w:val="auto"/>
                <w:kern w:val="0"/>
                <w:szCs w:val="21"/>
                <w:lang w:eastAsia="zh-CN" w:bidi="ar"/>
              </w:rPr>
            </w:pPr>
          </w:p>
        </w:tc>
        <w:tc>
          <w:tcPr>
            <w:tcW w:w="1313" w:type="dxa"/>
            <w:vAlign w:val="center"/>
          </w:tcPr>
          <w:p w14:paraId="6A0B6CD9">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财务审计报告</w:t>
            </w:r>
          </w:p>
        </w:tc>
        <w:tc>
          <w:tcPr>
            <w:tcW w:w="1648" w:type="dxa"/>
            <w:vAlign w:val="center"/>
          </w:tcPr>
          <w:p w14:paraId="4C174613">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szCs w:val="21"/>
              </w:rPr>
              <w:t>社会组织（社会团体、民办非企业、基金会）变更、注销登记</w:t>
            </w:r>
          </w:p>
        </w:tc>
        <w:tc>
          <w:tcPr>
            <w:tcW w:w="6525" w:type="dxa"/>
            <w:vAlign w:val="center"/>
          </w:tcPr>
          <w:p w14:paraId="458A2E27">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社会团体登记管理条例》（国务院1998年第250号）第二十条社会团体在办理注销登记前，应当在业务主管单位及其他有关机关的指导下，成立清算组织，完成清算工作。清算期间，社会团体不得开展清算以外的活动；</w:t>
            </w:r>
          </w:p>
          <w:p w14:paraId="14E35738">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《湖北省社会团体登记管理办法》（省政府令2001年第217号）第二十三条 社会团体处分注销后的剩余资产,由清算组织根据国家有关规定和章程载明的原则,提出处理意见,报经业务主管单位和登记管理机关同意后实施；</w:t>
            </w:r>
          </w:p>
          <w:p w14:paraId="74547AA2">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民办非企业单位登记管理暂行条例》（国务院令1998年第251号）第十七条民办非企业单位法定代表人或者负责人应当自完成清算之日起１５日内，向登记管理机关办理注销登记。办理注销登记，须提交注销登记申请书、业务主管单位的审查文件和清算报告。</w:t>
            </w:r>
          </w:p>
        </w:tc>
        <w:tc>
          <w:tcPr>
            <w:tcW w:w="1110" w:type="dxa"/>
            <w:vAlign w:val="center"/>
          </w:tcPr>
          <w:p w14:paraId="4654D0F8">
            <w:pPr>
              <w:keepNext w:val="0"/>
              <w:keepLines w:val="0"/>
              <w:pageBreakBefore w:val="0"/>
              <w:widowControl/>
              <w:kinsoku/>
              <w:wordWrap/>
              <w:overflowPunct/>
              <w:topLinePunct w:val="0"/>
              <w:autoSpaceDE/>
              <w:autoSpaceDN/>
              <w:bidi w:val="0"/>
              <w:adjustRightInd/>
              <w:snapToGrid/>
              <w:spacing w:line="280" w:lineRule="exact"/>
              <w:ind w:left="0" w:leftChars="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eastAsia="zh-CN" w:bidi="ar"/>
              </w:rPr>
              <w:t>梁子湖区</w:t>
            </w:r>
            <w:r>
              <w:rPr>
                <w:rFonts w:hint="eastAsia" w:ascii="仿宋_GB2312" w:hAnsi="仿宋_GB2312" w:eastAsia="仿宋_GB2312" w:cs="仿宋_GB2312"/>
                <w:color w:val="auto"/>
                <w:kern w:val="0"/>
                <w:szCs w:val="21"/>
                <w:lang w:bidi="ar"/>
              </w:rPr>
              <w:t>民政局</w:t>
            </w:r>
          </w:p>
        </w:tc>
        <w:tc>
          <w:tcPr>
            <w:tcW w:w="1367" w:type="dxa"/>
            <w:vAlign w:val="center"/>
          </w:tcPr>
          <w:p w14:paraId="30704F15">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会计师事务所</w:t>
            </w:r>
          </w:p>
        </w:tc>
        <w:tc>
          <w:tcPr>
            <w:tcW w:w="1153" w:type="dxa"/>
            <w:vAlign w:val="center"/>
          </w:tcPr>
          <w:p w14:paraId="62B519F3">
            <w:pPr>
              <w:pStyle w:val="14"/>
              <w:keepNext w:val="0"/>
              <w:keepLines w:val="0"/>
              <w:pageBreakBefore w:val="0"/>
              <w:kinsoku/>
              <w:wordWrap/>
              <w:overflowPunct/>
              <w:topLinePunct w:val="0"/>
              <w:autoSpaceDE/>
              <w:autoSpaceDN/>
              <w:bidi w:val="0"/>
              <w:adjustRightInd/>
              <w:snapToGrid/>
              <w:spacing w:line="280" w:lineRule="exact"/>
              <w:ind w:left="0"/>
              <w:jc w:val="both"/>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双方协商</w:t>
            </w:r>
          </w:p>
          <w:p w14:paraId="300567C6">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sz w:val="21"/>
                <w:szCs w:val="21"/>
                <w:lang w:eastAsia="zh-CN"/>
              </w:rPr>
              <w:t>合同约定</w:t>
            </w:r>
          </w:p>
        </w:tc>
        <w:tc>
          <w:tcPr>
            <w:tcW w:w="1165" w:type="dxa"/>
            <w:vAlign w:val="center"/>
          </w:tcPr>
          <w:p w14:paraId="04FF64FD">
            <w:pPr>
              <w:pStyle w:val="14"/>
              <w:keepNext w:val="0"/>
              <w:keepLines w:val="0"/>
              <w:pageBreakBefore w:val="0"/>
              <w:kinsoku/>
              <w:wordWrap/>
              <w:overflowPunct/>
              <w:topLinePunct w:val="0"/>
              <w:autoSpaceDE/>
              <w:autoSpaceDN/>
              <w:bidi w:val="0"/>
              <w:adjustRightInd/>
              <w:snapToGrid/>
              <w:spacing w:line="280" w:lineRule="exact"/>
              <w:ind w:left="0"/>
              <w:jc w:val="both"/>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双方协商</w:t>
            </w:r>
          </w:p>
          <w:p w14:paraId="3AC6A84A">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sz w:val="21"/>
                <w:szCs w:val="21"/>
                <w:lang w:eastAsia="zh-CN"/>
              </w:rPr>
              <w:t>合同约定</w:t>
            </w:r>
          </w:p>
        </w:tc>
        <w:tc>
          <w:tcPr>
            <w:tcW w:w="1159" w:type="dxa"/>
            <w:vAlign w:val="center"/>
          </w:tcPr>
          <w:p w14:paraId="6B09AD99">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由审批部门委托通过竞争方式选择的相关机构为其审批提供技术咨询服务</w:t>
            </w:r>
          </w:p>
        </w:tc>
      </w:tr>
      <w:tr w14:paraId="3FEEC58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357" w:hRule="atLeast"/>
          <w:jc w:val="center"/>
        </w:trPr>
        <w:tc>
          <w:tcPr>
            <w:tcW w:w="594" w:type="dxa"/>
            <w:vAlign w:val="center"/>
          </w:tcPr>
          <w:p w14:paraId="3749AB52">
            <w:pPr>
              <w:keepNext w:val="0"/>
              <w:keepLines w:val="0"/>
              <w:pageBreakBefore w:val="0"/>
              <w:widowControl/>
              <w:numPr>
                <w:ilvl w:val="0"/>
                <w:numId w:val="2"/>
              </w:numPr>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_GB2312" w:hAnsi="仿宋_GB2312" w:eastAsia="仿宋_GB2312" w:cs="仿宋_GB2312"/>
                <w:color w:val="auto"/>
                <w:kern w:val="0"/>
                <w:szCs w:val="21"/>
                <w:lang w:eastAsia="zh-CN" w:bidi="ar"/>
              </w:rPr>
            </w:pPr>
          </w:p>
        </w:tc>
        <w:tc>
          <w:tcPr>
            <w:tcW w:w="1313" w:type="dxa"/>
            <w:vAlign w:val="center"/>
          </w:tcPr>
          <w:p w14:paraId="1814E5B6">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清算报告书</w:t>
            </w:r>
          </w:p>
        </w:tc>
        <w:tc>
          <w:tcPr>
            <w:tcW w:w="1648" w:type="dxa"/>
            <w:vAlign w:val="center"/>
          </w:tcPr>
          <w:p w14:paraId="56C9CAFD">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szCs w:val="21"/>
              </w:rPr>
              <w:t>社会组织（社会团体、民办非企业、基金会）注销登记</w:t>
            </w:r>
          </w:p>
        </w:tc>
        <w:tc>
          <w:tcPr>
            <w:tcW w:w="6525" w:type="dxa"/>
            <w:vAlign w:val="center"/>
          </w:tcPr>
          <w:p w14:paraId="2FD558D4">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社会团体登记管理条例》（国务院1998年第250号）第二十条社会团体在办理注销登记前，应当在业务主管单位及其他有关机关的指导下，成立清算组织，完成清算工作。清算期间，社会团体不得开展清算以外的活动；</w:t>
            </w:r>
          </w:p>
          <w:p w14:paraId="31550B37">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《湖北省社会团体登记管理办法》（省政府令2001年第217号）第二十三条 社会团体处分注销后的剩余资产,由清算组织根据国家有关规定和章程载明的原则,提出处理意见,报经业务主管单位和登记管理机关同意后实施；</w:t>
            </w:r>
          </w:p>
          <w:p w14:paraId="4FEF1384">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民办非企业单位登记管理暂行条例》（国务院令1998年第251号）第十七条民办非企业单位法定代表人或者负责人应当自完成清算之日起１５日内，向登记管理机关办理注销登记。办理注销登记，须提交注销登记申请书、业务主管单位的审查文件和清算报告。</w:t>
            </w:r>
          </w:p>
          <w:p w14:paraId="1FC03039">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《基金会管理条例》（国务院令2004第400号）第十八条 基金会在办理注销登记前，应当在登记管理机关、业务主管单位的指导下成立清算组织，完成清算工作。</w:t>
            </w:r>
          </w:p>
        </w:tc>
        <w:tc>
          <w:tcPr>
            <w:tcW w:w="1110" w:type="dxa"/>
            <w:vAlign w:val="center"/>
          </w:tcPr>
          <w:p w14:paraId="2C7DEF0C">
            <w:pPr>
              <w:keepNext w:val="0"/>
              <w:keepLines w:val="0"/>
              <w:pageBreakBefore w:val="0"/>
              <w:widowControl/>
              <w:kinsoku/>
              <w:wordWrap/>
              <w:overflowPunct/>
              <w:topLinePunct w:val="0"/>
              <w:autoSpaceDE/>
              <w:autoSpaceDN/>
              <w:bidi w:val="0"/>
              <w:adjustRightInd/>
              <w:snapToGrid/>
              <w:spacing w:line="280" w:lineRule="exact"/>
              <w:ind w:left="0" w:leftChars="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eastAsia="zh-CN" w:bidi="ar"/>
              </w:rPr>
              <w:t>梁子湖区</w:t>
            </w:r>
            <w:r>
              <w:rPr>
                <w:rFonts w:hint="eastAsia" w:ascii="仿宋_GB2312" w:hAnsi="仿宋_GB2312" w:eastAsia="仿宋_GB2312" w:cs="仿宋_GB2312"/>
                <w:color w:val="auto"/>
                <w:kern w:val="0"/>
                <w:szCs w:val="21"/>
                <w:lang w:bidi="ar"/>
              </w:rPr>
              <w:t>民政局</w:t>
            </w:r>
          </w:p>
        </w:tc>
        <w:tc>
          <w:tcPr>
            <w:tcW w:w="1367" w:type="dxa"/>
            <w:vAlign w:val="center"/>
          </w:tcPr>
          <w:p w14:paraId="3768E52D">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会计师事务所</w:t>
            </w:r>
          </w:p>
        </w:tc>
        <w:tc>
          <w:tcPr>
            <w:tcW w:w="1153" w:type="dxa"/>
            <w:vAlign w:val="center"/>
          </w:tcPr>
          <w:p w14:paraId="41735BB7">
            <w:pPr>
              <w:pStyle w:val="14"/>
              <w:keepNext w:val="0"/>
              <w:keepLines w:val="0"/>
              <w:pageBreakBefore w:val="0"/>
              <w:kinsoku/>
              <w:wordWrap/>
              <w:overflowPunct/>
              <w:topLinePunct w:val="0"/>
              <w:autoSpaceDE/>
              <w:autoSpaceDN/>
              <w:bidi w:val="0"/>
              <w:adjustRightInd/>
              <w:snapToGrid/>
              <w:spacing w:line="280" w:lineRule="exact"/>
              <w:ind w:left="0"/>
              <w:jc w:val="both"/>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双方协商</w:t>
            </w:r>
          </w:p>
          <w:p w14:paraId="178D149D">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sz w:val="21"/>
                <w:szCs w:val="21"/>
                <w:lang w:eastAsia="zh-CN"/>
              </w:rPr>
              <w:t>合同约定</w:t>
            </w:r>
          </w:p>
        </w:tc>
        <w:tc>
          <w:tcPr>
            <w:tcW w:w="1165" w:type="dxa"/>
            <w:vAlign w:val="center"/>
          </w:tcPr>
          <w:p w14:paraId="48D6D620">
            <w:pPr>
              <w:pStyle w:val="14"/>
              <w:keepNext w:val="0"/>
              <w:keepLines w:val="0"/>
              <w:pageBreakBefore w:val="0"/>
              <w:kinsoku/>
              <w:wordWrap/>
              <w:overflowPunct/>
              <w:topLinePunct w:val="0"/>
              <w:autoSpaceDE/>
              <w:autoSpaceDN/>
              <w:bidi w:val="0"/>
              <w:adjustRightInd/>
              <w:snapToGrid/>
              <w:spacing w:line="280" w:lineRule="exact"/>
              <w:ind w:left="0"/>
              <w:jc w:val="both"/>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双方协商</w:t>
            </w:r>
          </w:p>
          <w:p w14:paraId="321E86CE">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sz w:val="21"/>
                <w:szCs w:val="21"/>
                <w:lang w:eastAsia="zh-CN"/>
              </w:rPr>
              <w:t>合同约定</w:t>
            </w:r>
          </w:p>
        </w:tc>
        <w:tc>
          <w:tcPr>
            <w:tcW w:w="1159" w:type="dxa"/>
            <w:vAlign w:val="center"/>
          </w:tcPr>
          <w:p w14:paraId="4FECB584">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由审批部门委托通过竞争方式选择的相关机构为其审批提供技术咨询服务</w:t>
            </w:r>
          </w:p>
        </w:tc>
      </w:tr>
      <w:tr w14:paraId="0DE3E2E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646" w:hRule="atLeast"/>
          <w:jc w:val="center"/>
        </w:trPr>
        <w:tc>
          <w:tcPr>
            <w:tcW w:w="594" w:type="dxa"/>
            <w:vMerge w:val="restart"/>
            <w:vAlign w:val="center"/>
          </w:tcPr>
          <w:p w14:paraId="4C91E222">
            <w:pPr>
              <w:keepNext w:val="0"/>
              <w:keepLines w:val="0"/>
              <w:pageBreakBefore w:val="0"/>
              <w:numPr>
                <w:ilvl w:val="0"/>
                <w:numId w:val="2"/>
              </w:numPr>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kern w:val="0"/>
                <w:szCs w:val="21"/>
                <w:lang w:eastAsia="zh-CN" w:bidi="ar"/>
              </w:rPr>
            </w:pPr>
          </w:p>
        </w:tc>
        <w:tc>
          <w:tcPr>
            <w:tcW w:w="1313" w:type="dxa"/>
            <w:vMerge w:val="restart"/>
            <w:vAlign w:val="center"/>
          </w:tcPr>
          <w:p w14:paraId="5217A84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szCs w:val="21"/>
              </w:rPr>
              <w:t>土地价格评估</w:t>
            </w:r>
          </w:p>
        </w:tc>
        <w:tc>
          <w:tcPr>
            <w:tcW w:w="1648" w:type="dxa"/>
            <w:vAlign w:val="center"/>
          </w:tcPr>
          <w:p w14:paraId="15DB708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国有建设用地使用权公开出让（租赁）审批</w:t>
            </w:r>
          </w:p>
        </w:tc>
        <w:tc>
          <w:tcPr>
            <w:tcW w:w="6525" w:type="dxa"/>
            <w:vMerge w:val="restart"/>
            <w:vAlign w:val="center"/>
          </w:tcPr>
          <w:p w14:paraId="3734C52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国土资源部办公厅关于发布《国有建设用地使用权出让出让地价评估技术规范（试行）的通知》（国土资厅发〔2013〕20号）第一条：要进一步健全国有建设用地使用权出让的定价程序，地价需经专业评估，底价应由集体决策。在国有建设用地使用权出让前，市、县国土资源主管部门应当组织对拟出让宗地的地价进行评估，为确定出让底价提供参考依据。委托给土地评估中介机构的，应当采用公开方式。因改变土地使用条件、发生土地增值等情况，需要补缴地价款的，市、县国土资源主管部门在确定补缴金额之前，也应按照上述要求组织评估。</w:t>
            </w:r>
          </w:p>
          <w:p w14:paraId="4A8A910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协议出让国有土地使用权规定》（国土资源部令第21号）第十一条：市、县人民政府国土资源行政主管部门应当根据国家产业政策和拟出让地块的情况，按照《城镇土地估价规程》的规定，对拟出让地块的土地价格进行评估，经市、县人民政府国土资源行政主管部门集体决策合理确定协议出让底价。</w:t>
            </w:r>
          </w:p>
          <w:p w14:paraId="57CE436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szCs w:val="21"/>
              </w:rPr>
              <w:t>3、关于印发《招标拍卖挂牌出让国有土地使用权规范（试行）》和《协议出让国有土地使用权规范</w:t>
            </w:r>
            <w:bookmarkStart w:id="0" w:name="_GoBack"/>
            <w:bookmarkEnd w:id="0"/>
            <w:r>
              <w:rPr>
                <w:rFonts w:hint="eastAsia" w:ascii="仿宋_GB2312" w:hAnsi="仿宋_GB2312" w:eastAsia="仿宋_GB2312" w:cs="仿宋_GB2312"/>
                <w:color w:val="auto"/>
                <w:szCs w:val="21"/>
              </w:rPr>
              <w:t>（试行）》的通知（国土资发〔2016〕114号） 市、县国土资源管理部门应当根据拟出让地块的条件和土地市场情况，依据《城镇土地估价规程》，组织对拟出让地块的正常土地市场价格进行评估。地价评估由市、县国土资源管理部门或其所属事业单位组织进行，根据需要也可以委托具有土地估价资质的土地或不动产评估机构进行。</w:t>
            </w:r>
          </w:p>
        </w:tc>
        <w:tc>
          <w:tcPr>
            <w:tcW w:w="1110" w:type="dxa"/>
            <w:vMerge w:val="restart"/>
            <w:vAlign w:val="center"/>
          </w:tcPr>
          <w:p w14:paraId="6DEE4D53">
            <w:pPr>
              <w:keepNext w:val="0"/>
              <w:keepLines w:val="0"/>
              <w:pageBreakBefore w:val="0"/>
              <w:kinsoku/>
              <w:wordWrap/>
              <w:overflowPunct/>
              <w:topLinePunct w:val="0"/>
              <w:autoSpaceDE/>
              <w:autoSpaceDN/>
              <w:bidi w:val="0"/>
              <w:adjustRightInd/>
              <w:snapToGrid/>
              <w:spacing w:line="280" w:lineRule="exact"/>
              <w:ind w:left="0" w:leftChars="0"/>
              <w:jc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szCs w:val="21"/>
                <w:lang w:eastAsia="zh-CN"/>
              </w:rPr>
              <w:t>梁子湖区</w:t>
            </w:r>
            <w:r>
              <w:rPr>
                <w:rFonts w:hint="eastAsia" w:ascii="仿宋_GB2312" w:hAnsi="仿宋_GB2312" w:eastAsia="仿宋_GB2312" w:cs="仿宋_GB2312"/>
                <w:color w:val="auto"/>
                <w:szCs w:val="21"/>
              </w:rPr>
              <w:t>自然资源</w:t>
            </w:r>
            <w:r>
              <w:rPr>
                <w:rFonts w:hint="eastAsia" w:ascii="仿宋_GB2312" w:hAnsi="仿宋_GB2312" w:eastAsia="仿宋_GB2312" w:cs="仿宋_GB2312"/>
                <w:color w:val="auto"/>
                <w:szCs w:val="21"/>
                <w:lang w:eastAsia="zh-CN"/>
              </w:rPr>
              <w:t>和规划分局</w:t>
            </w:r>
          </w:p>
        </w:tc>
        <w:tc>
          <w:tcPr>
            <w:tcW w:w="1367" w:type="dxa"/>
            <w:vMerge w:val="restart"/>
            <w:vAlign w:val="center"/>
          </w:tcPr>
          <w:p w14:paraId="6B0688B9">
            <w:pPr>
              <w:keepNext w:val="0"/>
              <w:keepLines w:val="0"/>
              <w:pageBreakBefore w:val="0"/>
              <w:tabs>
                <w:tab w:val="left" w:pos="427"/>
              </w:tabs>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szCs w:val="21"/>
              </w:rPr>
              <w:t>具有土地评估资质的机构</w:t>
            </w:r>
          </w:p>
        </w:tc>
        <w:tc>
          <w:tcPr>
            <w:tcW w:w="1153" w:type="dxa"/>
            <w:vMerge w:val="restart"/>
            <w:vAlign w:val="center"/>
          </w:tcPr>
          <w:p w14:paraId="62BF2A38">
            <w:pPr>
              <w:pStyle w:val="14"/>
              <w:keepNext w:val="0"/>
              <w:keepLines w:val="0"/>
              <w:pageBreakBefore w:val="0"/>
              <w:kinsoku/>
              <w:wordWrap/>
              <w:overflowPunct/>
              <w:topLinePunct w:val="0"/>
              <w:autoSpaceDE/>
              <w:autoSpaceDN/>
              <w:bidi w:val="0"/>
              <w:adjustRightInd/>
              <w:snapToGrid/>
              <w:spacing w:line="280" w:lineRule="exact"/>
              <w:ind w:left="0"/>
              <w:jc w:val="both"/>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双方协商</w:t>
            </w:r>
          </w:p>
          <w:p w14:paraId="60C2287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sz w:val="21"/>
                <w:szCs w:val="21"/>
                <w:lang w:eastAsia="zh-CN"/>
              </w:rPr>
              <w:t>合同约定</w:t>
            </w:r>
          </w:p>
        </w:tc>
        <w:tc>
          <w:tcPr>
            <w:tcW w:w="1165" w:type="dxa"/>
            <w:vMerge w:val="restart"/>
            <w:vAlign w:val="center"/>
          </w:tcPr>
          <w:p w14:paraId="54E9500E">
            <w:pPr>
              <w:pStyle w:val="14"/>
              <w:keepNext w:val="0"/>
              <w:keepLines w:val="0"/>
              <w:pageBreakBefore w:val="0"/>
              <w:kinsoku/>
              <w:wordWrap/>
              <w:overflowPunct/>
              <w:topLinePunct w:val="0"/>
              <w:autoSpaceDE/>
              <w:autoSpaceDN/>
              <w:bidi w:val="0"/>
              <w:adjustRightInd/>
              <w:snapToGrid/>
              <w:spacing w:line="280" w:lineRule="exact"/>
              <w:ind w:left="0"/>
              <w:jc w:val="both"/>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双方协商</w:t>
            </w:r>
          </w:p>
          <w:p w14:paraId="70D236C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合同约定</w:t>
            </w:r>
          </w:p>
        </w:tc>
        <w:tc>
          <w:tcPr>
            <w:tcW w:w="1159" w:type="dxa"/>
            <w:vMerge w:val="restart"/>
            <w:vAlign w:val="center"/>
          </w:tcPr>
          <w:p w14:paraId="2A0290E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由审批部门付费委托中介机构评估</w:t>
            </w:r>
          </w:p>
        </w:tc>
      </w:tr>
      <w:tr w14:paraId="0B47894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646" w:hRule="atLeast"/>
          <w:jc w:val="center"/>
        </w:trPr>
        <w:tc>
          <w:tcPr>
            <w:tcW w:w="594" w:type="dxa"/>
            <w:vMerge w:val="continue"/>
            <w:vAlign w:val="center"/>
          </w:tcPr>
          <w:p w14:paraId="799D1BC9">
            <w:pPr>
              <w:keepNext w:val="0"/>
              <w:keepLines w:val="0"/>
              <w:pageBreakBefore w:val="0"/>
              <w:kinsoku/>
              <w:wordWrap/>
              <w:overflowPunct/>
              <w:topLinePunct w:val="0"/>
              <w:autoSpaceDE/>
              <w:autoSpaceDN/>
              <w:bidi w:val="0"/>
              <w:adjustRightInd/>
              <w:snapToGrid/>
              <w:spacing w:line="280" w:lineRule="exact"/>
              <w:ind w:left="0" w:firstLineChars="0"/>
              <w:rPr>
                <w:color w:val="auto"/>
              </w:rPr>
            </w:pPr>
          </w:p>
        </w:tc>
        <w:tc>
          <w:tcPr>
            <w:tcW w:w="1313" w:type="dxa"/>
            <w:vMerge w:val="continue"/>
            <w:vAlign w:val="center"/>
          </w:tcPr>
          <w:p w14:paraId="197D631C">
            <w:pPr>
              <w:keepNext w:val="0"/>
              <w:keepLines w:val="0"/>
              <w:pageBreakBefore w:val="0"/>
              <w:kinsoku/>
              <w:wordWrap/>
              <w:overflowPunct/>
              <w:topLinePunct w:val="0"/>
              <w:autoSpaceDE/>
              <w:autoSpaceDN/>
              <w:bidi w:val="0"/>
              <w:adjustRightInd/>
              <w:snapToGrid/>
              <w:spacing w:line="280" w:lineRule="exact"/>
              <w:ind w:left="0"/>
              <w:rPr>
                <w:color w:val="auto"/>
              </w:rPr>
            </w:pPr>
          </w:p>
        </w:tc>
        <w:tc>
          <w:tcPr>
            <w:tcW w:w="1648" w:type="dxa"/>
            <w:vAlign w:val="center"/>
          </w:tcPr>
          <w:p w14:paraId="6FDFBD8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国有建设用地使用权划拨审批</w:t>
            </w:r>
          </w:p>
        </w:tc>
        <w:tc>
          <w:tcPr>
            <w:tcW w:w="6525" w:type="dxa"/>
            <w:vMerge w:val="continue"/>
            <w:vAlign w:val="center"/>
          </w:tcPr>
          <w:p w14:paraId="0CAE012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10" w:type="dxa"/>
            <w:vMerge w:val="continue"/>
            <w:vAlign w:val="center"/>
          </w:tcPr>
          <w:p w14:paraId="58559B0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367" w:type="dxa"/>
            <w:vMerge w:val="continue"/>
            <w:vAlign w:val="center"/>
          </w:tcPr>
          <w:p w14:paraId="6411984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3" w:type="dxa"/>
            <w:vMerge w:val="continue"/>
            <w:vAlign w:val="center"/>
          </w:tcPr>
          <w:p w14:paraId="76EDA98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65" w:type="dxa"/>
            <w:vMerge w:val="continue"/>
            <w:vAlign w:val="center"/>
          </w:tcPr>
          <w:p w14:paraId="2FDB2A6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9" w:type="dxa"/>
            <w:vMerge w:val="continue"/>
            <w:vAlign w:val="center"/>
          </w:tcPr>
          <w:p w14:paraId="214B9DA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4901511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646" w:hRule="atLeast"/>
          <w:jc w:val="center"/>
        </w:trPr>
        <w:tc>
          <w:tcPr>
            <w:tcW w:w="594" w:type="dxa"/>
            <w:vMerge w:val="continue"/>
            <w:vAlign w:val="center"/>
          </w:tcPr>
          <w:p w14:paraId="1AE58D2E">
            <w:pPr>
              <w:keepNext w:val="0"/>
              <w:keepLines w:val="0"/>
              <w:pageBreakBefore w:val="0"/>
              <w:kinsoku/>
              <w:wordWrap/>
              <w:overflowPunct/>
              <w:topLinePunct w:val="0"/>
              <w:autoSpaceDE/>
              <w:autoSpaceDN/>
              <w:bidi w:val="0"/>
              <w:adjustRightInd/>
              <w:snapToGrid/>
              <w:spacing w:line="280" w:lineRule="exact"/>
              <w:ind w:left="0" w:firstLineChars="0"/>
              <w:rPr>
                <w:rFonts w:hint="eastAsia" w:ascii="仿宋_GB2312" w:hAnsi="仿宋_GB2312" w:eastAsia="仿宋_GB2312" w:cs="仿宋_GB2312"/>
                <w:color w:val="auto"/>
                <w:szCs w:val="21"/>
              </w:rPr>
            </w:pPr>
          </w:p>
        </w:tc>
        <w:tc>
          <w:tcPr>
            <w:tcW w:w="1313" w:type="dxa"/>
            <w:vMerge w:val="continue"/>
            <w:vAlign w:val="center"/>
          </w:tcPr>
          <w:p w14:paraId="7527680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648" w:type="dxa"/>
            <w:vAlign w:val="center"/>
          </w:tcPr>
          <w:p w14:paraId="3522C60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国有建设用地使用权协议出让（租赁）审批</w:t>
            </w:r>
          </w:p>
        </w:tc>
        <w:tc>
          <w:tcPr>
            <w:tcW w:w="6525" w:type="dxa"/>
            <w:vMerge w:val="continue"/>
            <w:vAlign w:val="center"/>
          </w:tcPr>
          <w:p w14:paraId="76BA1D5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10" w:type="dxa"/>
            <w:vMerge w:val="continue"/>
            <w:vAlign w:val="center"/>
          </w:tcPr>
          <w:p w14:paraId="735FCFD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367" w:type="dxa"/>
            <w:vMerge w:val="continue"/>
            <w:vAlign w:val="center"/>
          </w:tcPr>
          <w:p w14:paraId="6D1A73B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3" w:type="dxa"/>
            <w:vMerge w:val="continue"/>
            <w:vAlign w:val="center"/>
          </w:tcPr>
          <w:p w14:paraId="16B1E6A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65" w:type="dxa"/>
            <w:vMerge w:val="continue"/>
            <w:vAlign w:val="center"/>
          </w:tcPr>
          <w:p w14:paraId="237FA82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9" w:type="dxa"/>
            <w:vMerge w:val="continue"/>
            <w:vAlign w:val="center"/>
          </w:tcPr>
          <w:p w14:paraId="287E76C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573041A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822" w:hRule="atLeast"/>
          <w:jc w:val="center"/>
        </w:trPr>
        <w:tc>
          <w:tcPr>
            <w:tcW w:w="594" w:type="dxa"/>
            <w:vMerge w:val="continue"/>
            <w:vAlign w:val="center"/>
          </w:tcPr>
          <w:p w14:paraId="50F7DADE">
            <w:pPr>
              <w:keepNext w:val="0"/>
              <w:keepLines w:val="0"/>
              <w:pageBreakBefore w:val="0"/>
              <w:kinsoku/>
              <w:wordWrap/>
              <w:overflowPunct/>
              <w:topLinePunct w:val="0"/>
              <w:autoSpaceDE/>
              <w:autoSpaceDN/>
              <w:bidi w:val="0"/>
              <w:adjustRightInd/>
              <w:snapToGrid/>
              <w:spacing w:line="280" w:lineRule="exact"/>
              <w:ind w:left="0" w:firstLineChars="0"/>
              <w:rPr>
                <w:rFonts w:hint="eastAsia" w:ascii="仿宋_GB2312" w:hAnsi="仿宋_GB2312" w:eastAsia="仿宋_GB2312" w:cs="仿宋_GB2312"/>
                <w:color w:val="auto"/>
                <w:szCs w:val="21"/>
              </w:rPr>
            </w:pPr>
          </w:p>
        </w:tc>
        <w:tc>
          <w:tcPr>
            <w:tcW w:w="1313" w:type="dxa"/>
            <w:vMerge w:val="continue"/>
            <w:vAlign w:val="center"/>
          </w:tcPr>
          <w:p w14:paraId="311A1B3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648" w:type="dxa"/>
            <w:vAlign w:val="center"/>
          </w:tcPr>
          <w:p w14:paraId="4913515A">
            <w:pPr>
              <w:keepNext w:val="0"/>
              <w:keepLines w:val="0"/>
              <w:pageBreakBefore w:val="0"/>
              <w:kinsoku/>
              <w:wordWrap/>
              <w:overflowPunct/>
              <w:topLinePunct w:val="0"/>
              <w:autoSpaceDE/>
              <w:autoSpaceDN/>
              <w:bidi w:val="0"/>
              <w:adjustRightInd/>
              <w:snapToGrid/>
              <w:spacing w:line="280" w:lineRule="exact"/>
              <w:ind w:left="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国有土地使用权转让审批</w:t>
            </w:r>
          </w:p>
        </w:tc>
        <w:tc>
          <w:tcPr>
            <w:tcW w:w="6525" w:type="dxa"/>
            <w:vMerge w:val="continue"/>
            <w:vAlign w:val="center"/>
          </w:tcPr>
          <w:p w14:paraId="0C723AC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10" w:type="dxa"/>
            <w:vMerge w:val="continue"/>
            <w:vAlign w:val="center"/>
          </w:tcPr>
          <w:p w14:paraId="762803C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367" w:type="dxa"/>
            <w:vMerge w:val="continue"/>
            <w:vAlign w:val="center"/>
          </w:tcPr>
          <w:p w14:paraId="4A5F413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3" w:type="dxa"/>
            <w:vMerge w:val="continue"/>
            <w:vAlign w:val="center"/>
          </w:tcPr>
          <w:p w14:paraId="0F290C6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65" w:type="dxa"/>
            <w:vMerge w:val="continue"/>
            <w:vAlign w:val="center"/>
          </w:tcPr>
          <w:p w14:paraId="41868F9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9" w:type="dxa"/>
            <w:vMerge w:val="continue"/>
            <w:vAlign w:val="center"/>
          </w:tcPr>
          <w:p w14:paraId="5D7674D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680EDEE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013" w:hRule="atLeast"/>
          <w:jc w:val="center"/>
        </w:trPr>
        <w:tc>
          <w:tcPr>
            <w:tcW w:w="594" w:type="dxa"/>
            <w:vAlign w:val="center"/>
          </w:tcPr>
          <w:p w14:paraId="4E8CD281">
            <w:pPr>
              <w:keepNext w:val="0"/>
              <w:keepLines w:val="0"/>
              <w:pageBreakBefore w:val="0"/>
              <w:numPr>
                <w:ilvl w:val="0"/>
                <w:numId w:val="2"/>
              </w:numPr>
              <w:kinsoku/>
              <w:wordWrap/>
              <w:overflowPunct/>
              <w:topLinePunct w:val="0"/>
              <w:autoSpaceDE/>
              <w:autoSpaceDN/>
              <w:bidi w:val="0"/>
              <w:adjustRightInd/>
              <w:snapToGrid/>
              <w:spacing w:line="280" w:lineRule="exact"/>
              <w:ind w:left="0" w:leftChars="0" w:firstLine="0" w:firstLineChars="0"/>
              <w:jc w:val="center"/>
              <w:rPr>
                <w:rFonts w:hint="default" w:ascii="仿宋_GB2312" w:hAnsi="仿宋_GB2312" w:eastAsia="仿宋_GB2312" w:cs="仿宋_GB2312"/>
                <w:color w:val="auto"/>
                <w:szCs w:val="21"/>
                <w:lang w:val="en-US" w:eastAsia="zh-CN"/>
              </w:rPr>
            </w:pPr>
          </w:p>
        </w:tc>
        <w:tc>
          <w:tcPr>
            <w:tcW w:w="1313" w:type="dxa"/>
            <w:vAlign w:val="center"/>
          </w:tcPr>
          <w:p w14:paraId="4C35D70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Style w:val="12"/>
                <w:rFonts w:ascii="仿宋_GB2312" w:hAnsi="仿宋_GB2312" w:eastAsia="仿宋_GB2312"/>
                <w:color w:val="auto"/>
                <w:kern w:val="0"/>
                <w:szCs w:val="21"/>
              </w:rPr>
              <w:t>生产建设项目水土保持方案报告书技术性审查咨询</w:t>
            </w:r>
          </w:p>
        </w:tc>
        <w:tc>
          <w:tcPr>
            <w:tcW w:w="1648" w:type="dxa"/>
            <w:vAlign w:val="center"/>
          </w:tcPr>
          <w:p w14:paraId="35AA2A1D">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Style w:val="12"/>
                <w:rFonts w:ascii="仿宋_GB2312" w:hAnsi="仿宋_GB2312" w:eastAsia="仿宋_GB2312"/>
                <w:color w:val="auto"/>
                <w:kern w:val="0"/>
                <w:szCs w:val="21"/>
              </w:rPr>
              <w:t>生产建设项目水土保持方案审批</w:t>
            </w:r>
          </w:p>
        </w:tc>
        <w:tc>
          <w:tcPr>
            <w:tcW w:w="6525" w:type="dxa"/>
            <w:vAlign w:val="center"/>
          </w:tcPr>
          <w:p w14:paraId="149537C2">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ind w:left="0" w:firstLine="420" w:firstLineChars="200"/>
              <w:rPr>
                <w:rStyle w:val="12"/>
                <w:rFonts w:ascii="仿宋_GB2312" w:hAnsi="仿宋_GB2312" w:eastAsia="仿宋_GB2312" w:cs="Times New Roman"/>
                <w:color w:val="auto"/>
                <w:szCs w:val="21"/>
              </w:rPr>
            </w:pPr>
            <w:r>
              <w:rPr>
                <w:rStyle w:val="12"/>
                <w:rFonts w:hint="eastAsia" w:ascii="仿宋_GB2312" w:hAnsi="仿宋_GB2312" w:eastAsia="仿宋_GB2312" w:cs="Times New Roman"/>
                <w:color w:val="auto"/>
                <w:szCs w:val="21"/>
              </w:rPr>
              <w:t>《水利部关于进一步深化“放管服”改革全面加强水土保持监管的意见》（水保[2019]160号）第二条第三项规定：水土保持方案报告书应当进行技术评审，技术评审意见是行政许可的技术支撑和基本依据。水行政主管部门或者其他审批部门组织开展技术评审，评审费用应当纳入各级财政预算，禁止向生产建设单位收取或者变相收取评审费用。</w:t>
            </w:r>
          </w:p>
          <w:p w14:paraId="321AB3CB">
            <w:pPr>
              <w:keepNext w:val="0"/>
              <w:keepLines w:val="0"/>
              <w:pageBreakBefore w:val="0"/>
              <w:widowControl/>
              <w:kinsoku/>
              <w:wordWrap/>
              <w:overflowPunct/>
              <w:topLinePunct w:val="0"/>
              <w:autoSpaceDE/>
              <w:autoSpaceDN/>
              <w:bidi w:val="0"/>
              <w:adjustRightInd/>
              <w:snapToGrid/>
              <w:spacing w:line="280" w:lineRule="exact"/>
              <w:ind w:left="0" w:firstLine="210" w:firstLineChars="100"/>
              <w:jc w:val="left"/>
              <w:textAlignment w:val="center"/>
              <w:rPr>
                <w:rFonts w:hint="eastAsia" w:ascii="仿宋_GB2312" w:hAnsi="仿宋_GB2312" w:eastAsia="仿宋_GB2312" w:cs="仿宋_GB2312"/>
                <w:color w:val="auto"/>
                <w:kern w:val="0"/>
                <w:szCs w:val="21"/>
                <w:lang w:bidi="ar"/>
              </w:rPr>
            </w:pPr>
            <w:r>
              <w:rPr>
                <w:rStyle w:val="12"/>
                <w:rFonts w:ascii="仿宋_GB2312" w:hAnsi="仿宋_GB2312" w:eastAsia="仿宋_GB2312"/>
                <w:color w:val="auto"/>
                <w:szCs w:val="21"/>
              </w:rPr>
              <w:t>《湖北省生产建设项目水土保持监督管理办法》第九条规定：水土保持方案报告书、水土保持区域评估报告应当进行技术评审，技术评审意见作为行政许可的技术支撑和基本依据。水行政主管部门或者其他审批部门组织有关专家或委托有关单位开展技术评审，评审费用应当纳入各级财政预算，禁止向生产建设单位收取或者变相收取评审费用。</w:t>
            </w:r>
          </w:p>
        </w:tc>
        <w:tc>
          <w:tcPr>
            <w:tcW w:w="1110" w:type="dxa"/>
            <w:vAlign w:val="center"/>
          </w:tcPr>
          <w:p w14:paraId="7D6FD248">
            <w:pPr>
              <w:keepNext w:val="0"/>
              <w:keepLines w:val="0"/>
              <w:pageBreakBefore w:val="0"/>
              <w:kinsoku/>
              <w:wordWrap/>
              <w:overflowPunct/>
              <w:topLinePunct w:val="0"/>
              <w:autoSpaceDE/>
              <w:autoSpaceDN/>
              <w:bidi w:val="0"/>
              <w:adjustRightInd/>
              <w:snapToGrid/>
              <w:spacing w:line="280" w:lineRule="exact"/>
              <w:ind w:left="0" w:leftChars="0"/>
              <w:jc w:val="center"/>
              <w:textAlignment w:val="center"/>
              <w:rPr>
                <w:rFonts w:hint="eastAsia" w:ascii="仿宋_GB2312" w:hAnsi="仿宋_GB2312" w:eastAsia="仿宋_GB2312" w:cs="仿宋_GB2312"/>
                <w:color w:val="auto"/>
                <w:szCs w:val="21"/>
              </w:rPr>
            </w:pPr>
            <w:r>
              <w:rPr>
                <w:rStyle w:val="12"/>
                <w:rFonts w:hint="eastAsia" w:ascii="仿宋_GB2312" w:hAnsi="仿宋_GB2312" w:eastAsia="仿宋_GB2312"/>
                <w:color w:val="auto"/>
                <w:kern w:val="0"/>
                <w:szCs w:val="21"/>
              </w:rPr>
              <w:t>梁子湖区农业农村局</w:t>
            </w:r>
          </w:p>
        </w:tc>
        <w:tc>
          <w:tcPr>
            <w:tcW w:w="1367" w:type="dxa"/>
            <w:vAlign w:val="center"/>
          </w:tcPr>
          <w:p w14:paraId="7929AEDC">
            <w:pPr>
              <w:keepNext w:val="0"/>
              <w:keepLines w:val="0"/>
              <w:pageBreakBefore w:val="0"/>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Style w:val="12"/>
                <w:rFonts w:hint="eastAsia" w:ascii="仿宋_GB2312" w:hAnsi="仿宋_GB2312" w:eastAsia="仿宋_GB2312"/>
                <w:color w:val="auto"/>
                <w:kern w:val="0"/>
                <w:szCs w:val="21"/>
              </w:rPr>
              <w:t>组织有关专家或者</w:t>
            </w:r>
            <w:r>
              <w:rPr>
                <w:rStyle w:val="12"/>
                <w:rFonts w:ascii="仿宋_GB2312" w:hAnsi="仿宋_GB2312" w:eastAsia="仿宋_GB2312"/>
                <w:color w:val="auto"/>
                <w:kern w:val="0"/>
                <w:szCs w:val="21"/>
              </w:rPr>
              <w:t>委托具有相应</w:t>
            </w:r>
            <w:r>
              <w:rPr>
                <w:rStyle w:val="12"/>
                <w:rFonts w:hint="eastAsia" w:ascii="仿宋_GB2312" w:hAnsi="仿宋_GB2312" w:eastAsia="仿宋_GB2312"/>
                <w:color w:val="auto"/>
                <w:kern w:val="0"/>
                <w:szCs w:val="21"/>
              </w:rPr>
              <w:t>技术能力</w:t>
            </w:r>
            <w:r>
              <w:rPr>
                <w:rStyle w:val="12"/>
                <w:rFonts w:ascii="仿宋_GB2312" w:hAnsi="仿宋_GB2312" w:eastAsia="仿宋_GB2312"/>
                <w:color w:val="auto"/>
                <w:kern w:val="0"/>
                <w:szCs w:val="21"/>
              </w:rPr>
              <w:t>的咨询机构开展技术评审</w:t>
            </w:r>
            <w:r>
              <w:rPr>
                <w:rStyle w:val="12"/>
                <w:rFonts w:hint="eastAsia" w:ascii="仿宋_GB2312" w:hAnsi="仿宋_GB2312" w:eastAsia="仿宋_GB2312"/>
                <w:color w:val="auto"/>
                <w:kern w:val="0"/>
                <w:szCs w:val="21"/>
              </w:rPr>
              <w:t>。</w:t>
            </w:r>
          </w:p>
        </w:tc>
        <w:tc>
          <w:tcPr>
            <w:tcW w:w="1153" w:type="dxa"/>
            <w:vAlign w:val="center"/>
          </w:tcPr>
          <w:p w14:paraId="60258BF9">
            <w:pPr>
              <w:pStyle w:val="14"/>
              <w:keepNext w:val="0"/>
              <w:keepLines w:val="0"/>
              <w:pageBreakBefore w:val="0"/>
              <w:kinsoku/>
              <w:wordWrap/>
              <w:overflowPunct/>
              <w:topLinePunct w:val="0"/>
              <w:autoSpaceDE/>
              <w:autoSpaceDN/>
              <w:bidi w:val="0"/>
              <w:adjustRightInd/>
              <w:snapToGrid/>
              <w:spacing w:line="280" w:lineRule="exact"/>
              <w:ind w:left="0"/>
              <w:jc w:val="both"/>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双方协商</w:t>
            </w:r>
          </w:p>
          <w:p w14:paraId="1EE6DAA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合同约定</w:t>
            </w:r>
          </w:p>
        </w:tc>
        <w:tc>
          <w:tcPr>
            <w:tcW w:w="1165" w:type="dxa"/>
            <w:vAlign w:val="center"/>
          </w:tcPr>
          <w:p w14:paraId="3C82FEB6">
            <w:pPr>
              <w:pStyle w:val="14"/>
              <w:keepNext w:val="0"/>
              <w:keepLines w:val="0"/>
              <w:pageBreakBefore w:val="0"/>
              <w:kinsoku/>
              <w:wordWrap/>
              <w:overflowPunct/>
              <w:topLinePunct w:val="0"/>
              <w:autoSpaceDE/>
              <w:autoSpaceDN/>
              <w:bidi w:val="0"/>
              <w:adjustRightInd/>
              <w:snapToGrid/>
              <w:spacing w:line="280" w:lineRule="exact"/>
              <w:ind w:left="0"/>
              <w:jc w:val="both"/>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双方协商</w:t>
            </w:r>
          </w:p>
          <w:p w14:paraId="6F9CC37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合同约定</w:t>
            </w:r>
          </w:p>
        </w:tc>
        <w:tc>
          <w:tcPr>
            <w:tcW w:w="1159" w:type="dxa"/>
            <w:vAlign w:val="center"/>
          </w:tcPr>
          <w:p w14:paraId="72D3F41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p>
        </w:tc>
      </w:tr>
    </w:tbl>
    <w:p w14:paraId="2804478D"/>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JhengHei Light">
    <w:panose1 w:val="020B0304030504040204"/>
    <w:charset w:val="88"/>
    <w:family w:val="swiss"/>
    <w:pitch w:val="default"/>
    <w:sig w:usb0="800002A7" w:usb1="28CF4400" w:usb2="00000016" w:usb3="00000000" w:csb0="00100009" w:csb1="00000000"/>
  </w:font>
  <w:font w:name="方正小标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894E16"/>
    <w:multiLevelType w:val="singleLevel"/>
    <w:tmpl w:val="B6894E16"/>
    <w:lvl w:ilvl="0" w:tentative="0">
      <w:start w:val="44"/>
      <w:numFmt w:val="decimal"/>
      <w:lvlText w:val="%1"/>
      <w:lvlJc w:val="center"/>
      <w:pPr>
        <w:tabs>
          <w:tab w:val="left" w:pos="0"/>
        </w:tabs>
        <w:ind w:left="0" w:leftChars="0" w:firstLine="0" w:firstLineChars="0"/>
      </w:pPr>
      <w:rPr>
        <w:rFonts w:hint="default"/>
      </w:rPr>
    </w:lvl>
  </w:abstractNum>
  <w:abstractNum w:abstractNumId="1">
    <w:nsid w:val="28AEAEF8"/>
    <w:multiLevelType w:val="singleLevel"/>
    <w:tmpl w:val="28AEAEF8"/>
    <w:lvl w:ilvl="0" w:tentative="0">
      <w:start w:val="1"/>
      <w:numFmt w:val="decimal"/>
      <w:lvlText w:val="%1"/>
      <w:lvlJc w:val="center"/>
      <w:pPr>
        <w:tabs>
          <w:tab w:val="left" w:pos="0"/>
        </w:tabs>
        <w:ind w:left="0" w:leftChars="0" w:firstLine="0"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5F62DD"/>
    <w:rsid w:val="126A1420"/>
    <w:rsid w:val="301E5B18"/>
    <w:rsid w:val="31C71451"/>
    <w:rsid w:val="3A5F62DD"/>
    <w:rsid w:val="3B837545"/>
    <w:rsid w:val="46F3495D"/>
    <w:rsid w:val="61773A57"/>
    <w:rsid w:val="636627C0"/>
    <w:rsid w:val="668C465D"/>
    <w:rsid w:val="67734BD5"/>
    <w:rsid w:val="6C175ECA"/>
    <w:rsid w:val="71423D5C"/>
    <w:rsid w:val="720E5B64"/>
    <w:rsid w:val="739D4A15"/>
    <w:rsid w:val="7A06682A"/>
    <w:rsid w:val="7D355C6B"/>
    <w:rsid w:val="7D614654"/>
    <w:rsid w:val="7E2C6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Cs w:val="20"/>
    </w:rPr>
  </w:style>
  <w:style w:type="paragraph" w:styleId="3">
    <w:name w:val="Body Text Indent"/>
    <w:basedOn w:val="1"/>
    <w:next w:val="2"/>
    <w:qFormat/>
    <w:uiPriority w:val="0"/>
    <w:pPr>
      <w:ind w:left="420" w:leftChars="200"/>
    </w:pPr>
  </w:style>
  <w:style w:type="paragraph" w:styleId="4">
    <w:name w:val="footer"/>
    <w:basedOn w:val="1"/>
    <w:next w:val="1"/>
    <w:qFormat/>
    <w:uiPriority w:val="99"/>
    <w:pPr>
      <w:tabs>
        <w:tab w:val="center" w:pos="4153"/>
        <w:tab w:val="right" w:pos="8306"/>
      </w:tabs>
      <w:snapToGrid w:val="0"/>
      <w:jc w:val="left"/>
    </w:pPr>
    <w:rPr>
      <w:rFonts w:ascii="Calibri" w:hAnsi="Calibri"/>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7">
    <w:name w:val="Title"/>
    <w:basedOn w:val="1"/>
    <w:next w:val="1"/>
    <w:qFormat/>
    <w:uiPriority w:val="10"/>
    <w:pPr>
      <w:spacing w:before="240" w:after="60"/>
      <w:jc w:val="center"/>
      <w:outlineLvl w:val="0"/>
    </w:pPr>
    <w:rPr>
      <w:rFonts w:ascii="Cambria" w:hAnsi="Cambria" w:cs="Times New Roman"/>
      <w:b/>
      <w:bCs/>
      <w:sz w:val="32"/>
      <w:szCs w:val="32"/>
    </w:rPr>
  </w:style>
  <w:style w:type="character" w:customStyle="1" w:styleId="10">
    <w:name w:val="font21"/>
    <w:basedOn w:val="9"/>
    <w:qFormat/>
    <w:uiPriority w:val="99"/>
    <w:rPr>
      <w:rFonts w:ascii="Calibri" w:hAnsi="Calibri" w:cs="Calibri"/>
      <w:color w:val="000000"/>
      <w:sz w:val="21"/>
      <w:szCs w:val="21"/>
      <w:u w:val="none"/>
    </w:rPr>
  </w:style>
  <w:style w:type="character" w:customStyle="1" w:styleId="11">
    <w:name w:val="NormalCharacter"/>
    <w:semiHidden/>
    <w:qFormat/>
    <w:uiPriority w:val="0"/>
  </w:style>
  <w:style w:type="character" w:customStyle="1" w:styleId="12">
    <w:name w:val="UserStyle_6"/>
    <w:semiHidden/>
    <w:qFormat/>
    <w:uiPriority w:val="0"/>
    <w:rPr>
      <w:kern w:val="2"/>
      <w:sz w:val="21"/>
      <w:szCs w:val="24"/>
      <w:lang w:val="en-US" w:eastAsia="zh-CN" w:bidi="ar-SA"/>
    </w:rPr>
  </w:style>
  <w:style w:type="character" w:customStyle="1" w:styleId="13">
    <w:name w:val="font11"/>
    <w:basedOn w:val="9"/>
    <w:qFormat/>
    <w:uiPriority w:val="0"/>
    <w:rPr>
      <w:rFonts w:ascii="仿宋_GB2312" w:eastAsia="仿宋_GB2312" w:cs="仿宋_GB2312"/>
      <w:color w:val="000000"/>
      <w:sz w:val="22"/>
      <w:szCs w:val="22"/>
      <w:u w:val="none"/>
    </w:rPr>
  </w:style>
  <w:style w:type="paragraph" w:styleId="14">
    <w:name w:val="No Spacing"/>
    <w:qFormat/>
    <w:uiPriority w:val="1"/>
    <w:pPr>
      <w:widowControl w:val="0"/>
    </w:pPr>
    <w:rPr>
      <w:rFonts w:ascii="Microsoft JhengHei Light" w:hAnsi="Microsoft JhengHei Light" w:eastAsia="Microsoft JhengHei Light" w:cs="Microsoft JhengHei Light"/>
      <w:color w:val="000000"/>
      <w:sz w:val="24"/>
      <w:szCs w:val="24"/>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20489</Words>
  <Characters>20763</Characters>
  <Lines>0</Lines>
  <Paragraphs>0</Paragraphs>
  <TotalTime>0</TotalTime>
  <ScaleCrop>false</ScaleCrop>
  <LinksUpToDate>false</LinksUpToDate>
  <CharactersWithSpaces>20969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2023-07-24T02:00:00Z</dcterms:created>
  <dc:creator>HUAWEI</dc:creator>
  <cp:lastModifiedBy>WPS_1625883245</cp:lastModifiedBy>
  <dcterms:modified xsi:type="dcterms:W3CDTF">2025-03-14T02:10:41Z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eyJoZGlkIjoiZGRjZGI2OTVlZDZlODM2M2Y3ZTUyZWM0MDEwYTg3MTIiLCJ1c2VySWQiOiIxMjMxNTE4Nzc5In0=</vt:lpwstr>
  </property>
  <property fmtid="{D5CDD505-2E9C-101B-9397-08002B2CF9AE}" pid="4" name="ICV">
    <vt:lpwstr>EAC8BCCE07DE4CF2BE157CFBF37EEF76_12</vt:lpwstr>
  </property>
</Properties>
</file>