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C1960B">
      <w:pPr>
        <w:autoSpaceDE w:val="0"/>
        <w:autoSpaceDN w:val="0"/>
        <w:spacing w:after="868" w:line="220" w:lineRule="exact"/>
      </w:pPr>
      <w:bookmarkStart w:id="42" w:name="_GoBack"/>
      <w:bookmarkEnd w:id="42"/>
    </w:p>
    <w:p w14:paraId="77A5F285">
      <w:pPr>
        <w:autoSpaceDE w:val="0"/>
        <w:autoSpaceDN w:val="0"/>
        <w:spacing w:after="868" w:line="220" w:lineRule="exact"/>
      </w:pPr>
    </w:p>
    <w:p w14:paraId="3455BFF1">
      <w:pPr>
        <w:autoSpaceDE w:val="0"/>
        <w:autoSpaceDN w:val="0"/>
        <w:spacing w:after="868" w:line="220" w:lineRule="exact"/>
      </w:pPr>
    </w:p>
    <w:p w14:paraId="281BF209">
      <w:pPr>
        <w:autoSpaceDE w:val="0"/>
        <w:autoSpaceDN w:val="0"/>
        <w:spacing w:after="32" w:line="360" w:lineRule="auto"/>
        <w:jc w:val="center"/>
        <w:rPr>
          <w:rFonts w:ascii="黑体" w:hAnsi="黑体" w:eastAsia="黑体" w:cs="黑体"/>
          <w:b/>
          <w:bCs/>
          <w:sz w:val="44"/>
          <w:lang w:eastAsia="zh-CN"/>
        </w:rPr>
      </w:pPr>
      <w:r>
        <w:rPr>
          <w:rFonts w:hint="eastAsia" w:ascii="黑体" w:hAnsi="黑体" w:eastAsia="黑体" w:cs="黑体"/>
          <w:b/>
          <w:bCs/>
          <w:sz w:val="44"/>
          <w:lang w:eastAsia="zh-CN"/>
        </w:rPr>
        <w:t>梁子湖区乡村地区“通则式”规划技术管理规定</w:t>
      </w:r>
    </w:p>
    <w:p w14:paraId="53210595">
      <w:pPr>
        <w:autoSpaceDE w:val="0"/>
        <w:autoSpaceDN w:val="0"/>
        <w:spacing w:after="32" w:line="360" w:lineRule="auto"/>
        <w:jc w:val="center"/>
        <w:rPr>
          <w:rFonts w:ascii="黑体" w:hAnsi="黑体" w:eastAsia="黑体" w:cs="黑体"/>
          <w:b/>
          <w:bCs/>
          <w:sz w:val="44"/>
          <w:lang w:eastAsia="zh-CN"/>
        </w:rPr>
      </w:pPr>
      <w:r>
        <w:rPr>
          <w:rFonts w:hint="eastAsia" w:ascii="黑体" w:hAnsi="黑体" w:eastAsia="黑体" w:cs="黑体"/>
          <w:b/>
          <w:bCs/>
          <w:sz w:val="44"/>
          <w:lang w:eastAsia="zh-CN"/>
        </w:rPr>
        <w:t>（公示稿）</w:t>
      </w:r>
    </w:p>
    <w:p w14:paraId="34DFF574">
      <w:pPr>
        <w:autoSpaceDE w:val="0"/>
        <w:autoSpaceDN w:val="0"/>
        <w:spacing w:after="0" w:line="570" w:lineRule="exact"/>
        <w:jc w:val="center"/>
        <w:rPr>
          <w:rFonts w:ascii="黑体" w:hAnsi="黑体" w:eastAsia="黑体" w:cs="黑体"/>
          <w:sz w:val="32"/>
          <w:lang w:eastAsia="zh-CN"/>
        </w:rPr>
      </w:pPr>
    </w:p>
    <w:p w14:paraId="0ED83231">
      <w:pPr>
        <w:autoSpaceDE w:val="0"/>
        <w:autoSpaceDN w:val="0"/>
        <w:spacing w:after="0" w:line="570" w:lineRule="exact"/>
        <w:jc w:val="center"/>
        <w:rPr>
          <w:rFonts w:ascii="黑体" w:hAnsi="黑体" w:eastAsia="黑体" w:cs="黑体"/>
          <w:sz w:val="32"/>
          <w:lang w:eastAsia="zh-CN"/>
        </w:rPr>
      </w:pPr>
    </w:p>
    <w:p w14:paraId="170A4D7B">
      <w:pPr>
        <w:autoSpaceDE w:val="0"/>
        <w:autoSpaceDN w:val="0"/>
        <w:spacing w:after="0" w:line="570" w:lineRule="exact"/>
        <w:jc w:val="center"/>
        <w:rPr>
          <w:rFonts w:ascii="黑体" w:hAnsi="黑体" w:eastAsia="黑体" w:cs="黑体"/>
          <w:sz w:val="32"/>
          <w:lang w:eastAsia="zh-CN"/>
        </w:rPr>
      </w:pPr>
    </w:p>
    <w:p w14:paraId="014B2CB2">
      <w:pPr>
        <w:autoSpaceDE w:val="0"/>
        <w:autoSpaceDN w:val="0"/>
        <w:spacing w:after="0" w:line="570" w:lineRule="exact"/>
        <w:jc w:val="center"/>
        <w:rPr>
          <w:rFonts w:ascii="黑体" w:hAnsi="黑体" w:eastAsia="黑体" w:cs="黑体"/>
          <w:sz w:val="32"/>
          <w:lang w:eastAsia="zh-CN"/>
        </w:rPr>
      </w:pPr>
    </w:p>
    <w:p w14:paraId="3BFE674E">
      <w:pPr>
        <w:autoSpaceDE w:val="0"/>
        <w:autoSpaceDN w:val="0"/>
        <w:spacing w:after="0" w:line="570" w:lineRule="exact"/>
        <w:jc w:val="center"/>
        <w:rPr>
          <w:rFonts w:ascii="黑体" w:hAnsi="黑体" w:eastAsia="黑体" w:cs="黑体"/>
          <w:sz w:val="32"/>
          <w:lang w:eastAsia="zh-CN"/>
        </w:rPr>
      </w:pPr>
    </w:p>
    <w:p w14:paraId="29CDEF7C">
      <w:pPr>
        <w:autoSpaceDE w:val="0"/>
        <w:autoSpaceDN w:val="0"/>
        <w:spacing w:after="0" w:line="570" w:lineRule="exact"/>
        <w:jc w:val="center"/>
        <w:rPr>
          <w:rFonts w:ascii="黑体" w:hAnsi="黑体" w:eastAsia="黑体" w:cs="黑体"/>
          <w:sz w:val="32"/>
          <w:lang w:eastAsia="zh-CN"/>
        </w:rPr>
      </w:pPr>
    </w:p>
    <w:p w14:paraId="5C692650">
      <w:pPr>
        <w:autoSpaceDE w:val="0"/>
        <w:autoSpaceDN w:val="0"/>
        <w:spacing w:after="0" w:line="570" w:lineRule="exact"/>
        <w:jc w:val="center"/>
        <w:rPr>
          <w:rFonts w:ascii="黑体" w:hAnsi="黑体" w:eastAsia="黑体" w:cs="黑体"/>
          <w:sz w:val="32"/>
          <w:lang w:eastAsia="zh-CN"/>
        </w:rPr>
      </w:pPr>
    </w:p>
    <w:p w14:paraId="48EFA2BA">
      <w:pPr>
        <w:autoSpaceDE w:val="0"/>
        <w:autoSpaceDN w:val="0"/>
        <w:spacing w:after="0" w:line="570" w:lineRule="exact"/>
        <w:jc w:val="center"/>
        <w:rPr>
          <w:rFonts w:ascii="黑体" w:hAnsi="黑体" w:eastAsia="黑体" w:cs="黑体"/>
          <w:sz w:val="32"/>
          <w:lang w:eastAsia="zh-CN"/>
        </w:rPr>
      </w:pPr>
    </w:p>
    <w:p w14:paraId="2C42A757">
      <w:pPr>
        <w:autoSpaceDE w:val="0"/>
        <w:autoSpaceDN w:val="0"/>
        <w:spacing w:after="0" w:line="570" w:lineRule="exact"/>
        <w:jc w:val="center"/>
        <w:rPr>
          <w:rFonts w:ascii="黑体" w:hAnsi="黑体" w:eastAsia="黑体" w:cs="黑体"/>
          <w:sz w:val="32"/>
          <w:lang w:eastAsia="zh-CN"/>
        </w:rPr>
      </w:pPr>
    </w:p>
    <w:p w14:paraId="141A926B">
      <w:pPr>
        <w:autoSpaceDE w:val="0"/>
        <w:autoSpaceDN w:val="0"/>
        <w:spacing w:after="0" w:line="570" w:lineRule="exact"/>
        <w:jc w:val="center"/>
        <w:rPr>
          <w:rFonts w:ascii="黑体" w:hAnsi="黑体" w:eastAsia="黑体" w:cs="黑体"/>
          <w:sz w:val="32"/>
          <w:lang w:eastAsia="zh-CN"/>
        </w:rPr>
      </w:pPr>
    </w:p>
    <w:p w14:paraId="5A6FD63B">
      <w:pPr>
        <w:autoSpaceDE w:val="0"/>
        <w:autoSpaceDN w:val="0"/>
        <w:spacing w:after="0" w:line="570" w:lineRule="exact"/>
        <w:jc w:val="center"/>
        <w:rPr>
          <w:rFonts w:ascii="黑体" w:hAnsi="黑体" w:eastAsia="黑体" w:cs="黑体"/>
          <w:sz w:val="32"/>
          <w:lang w:eastAsia="zh-CN"/>
        </w:rPr>
      </w:pPr>
    </w:p>
    <w:p w14:paraId="0F7A7A97">
      <w:pPr>
        <w:autoSpaceDE w:val="0"/>
        <w:autoSpaceDN w:val="0"/>
        <w:spacing w:after="0" w:line="570" w:lineRule="exact"/>
        <w:jc w:val="center"/>
        <w:rPr>
          <w:rFonts w:ascii="黑体" w:hAnsi="黑体" w:eastAsia="黑体" w:cs="黑体"/>
          <w:sz w:val="32"/>
          <w:lang w:eastAsia="zh-CN"/>
        </w:rPr>
      </w:pPr>
    </w:p>
    <w:p w14:paraId="68BDAE92">
      <w:pPr>
        <w:autoSpaceDE w:val="0"/>
        <w:autoSpaceDN w:val="0"/>
        <w:spacing w:after="0" w:line="570" w:lineRule="exact"/>
        <w:jc w:val="center"/>
        <w:rPr>
          <w:rFonts w:ascii="黑体" w:hAnsi="黑体" w:eastAsia="黑体" w:cs="黑体"/>
          <w:sz w:val="32"/>
          <w:lang w:eastAsia="zh-CN"/>
        </w:rPr>
      </w:pPr>
    </w:p>
    <w:p w14:paraId="4FDF0E53">
      <w:pPr>
        <w:autoSpaceDE w:val="0"/>
        <w:autoSpaceDN w:val="0"/>
        <w:spacing w:after="0" w:line="570" w:lineRule="exact"/>
        <w:jc w:val="center"/>
        <w:rPr>
          <w:rFonts w:ascii="楷体" w:hAnsi="楷体" w:eastAsia="楷体" w:cs="华文中宋"/>
          <w:sz w:val="32"/>
          <w:lang w:eastAsia="zh-CN"/>
        </w:rPr>
      </w:pPr>
      <w:r>
        <w:rPr>
          <w:rFonts w:hint="eastAsia" w:ascii="楷体" w:hAnsi="楷体" w:eastAsia="楷体" w:cs="华文中宋"/>
          <w:sz w:val="32"/>
          <w:lang w:eastAsia="zh-CN"/>
        </w:rPr>
        <w:t>鄂州市自然资源和规划局梁子湖分局</w:t>
      </w:r>
    </w:p>
    <w:p w14:paraId="3B356696">
      <w:pPr>
        <w:autoSpaceDE w:val="0"/>
        <w:autoSpaceDN w:val="0"/>
        <w:spacing w:after="0" w:line="570" w:lineRule="exact"/>
        <w:jc w:val="center"/>
        <w:rPr>
          <w:rFonts w:ascii="黑体" w:hAnsi="黑体" w:eastAsia="黑体" w:cs="黑体"/>
          <w:sz w:val="32"/>
          <w:lang w:eastAsia="zh-CN"/>
        </w:rPr>
      </w:pPr>
      <w:r>
        <w:rPr>
          <w:rFonts w:hint="eastAsia" w:ascii="楷体" w:hAnsi="楷体" w:eastAsia="楷体" w:cs="华文中宋"/>
          <w:sz w:val="32"/>
          <w:lang w:eastAsia="zh-CN"/>
        </w:rPr>
        <w:t>2026年</w:t>
      </w:r>
      <w:r>
        <w:rPr>
          <w:rFonts w:ascii="楷体" w:hAnsi="楷体" w:eastAsia="楷体" w:cs="华文中宋"/>
          <w:sz w:val="32"/>
          <w:lang w:eastAsia="zh-CN"/>
        </w:rPr>
        <w:t>9</w:t>
      </w:r>
      <w:r>
        <w:rPr>
          <w:rFonts w:hint="eastAsia" w:ascii="楷体" w:hAnsi="楷体" w:eastAsia="楷体" w:cs="华文中宋"/>
          <w:sz w:val="32"/>
          <w:lang w:eastAsia="zh-CN"/>
        </w:rPr>
        <w:t>月</w:t>
      </w:r>
    </w:p>
    <w:p w14:paraId="0AAD5991">
      <w:pPr>
        <w:autoSpaceDE w:val="0"/>
        <w:autoSpaceDN w:val="0"/>
        <w:spacing w:after="0" w:line="570" w:lineRule="exact"/>
        <w:jc w:val="center"/>
        <w:rPr>
          <w:rFonts w:ascii="仿宋" w:hAnsi="仿宋" w:eastAsia="仿宋" w:cs="仿宋"/>
          <w:b/>
          <w:bCs/>
          <w:sz w:val="32"/>
          <w:lang w:eastAsia="zh-CN"/>
        </w:rPr>
        <w:sectPr>
          <w:pgSz w:w="11906" w:h="16838"/>
          <w:pgMar w:top="1144" w:right="1178" w:bottom="724" w:left="1312" w:header="720" w:footer="720" w:gutter="0"/>
          <w:cols w:space="720" w:num="1"/>
          <w:docGrid w:linePitch="360" w:charSpace="0"/>
        </w:sectPr>
      </w:pPr>
    </w:p>
    <w:sdt>
      <w:sdtPr>
        <w:rPr>
          <w:rFonts w:ascii="宋体" w:hAnsi="宋体" w:eastAsia="宋体"/>
          <w:sz w:val="21"/>
        </w:rPr>
        <w:id w:val="147456010"/>
        <w15:color w:val="DBDBDB"/>
        <w:docPartObj>
          <w:docPartGallery w:val="Table of Contents"/>
          <w:docPartUnique/>
        </w:docPartObj>
      </w:sdtPr>
      <w:sdtEndPr>
        <w:rPr>
          <w:rFonts w:ascii="宋体" w:hAnsi="宋体" w:eastAsia="宋体"/>
          <w:sz w:val="22"/>
          <w:szCs w:val="24"/>
        </w:rPr>
      </w:sdtEndPr>
      <w:sdtContent>
        <w:p w14:paraId="3751D7AF">
          <w:pPr>
            <w:spacing w:after="0" w:line="240" w:lineRule="auto"/>
            <w:jc w:val="center"/>
          </w:pPr>
          <w:r>
            <w:rPr>
              <w:rFonts w:ascii="宋体" w:hAnsi="宋体" w:eastAsia="宋体"/>
              <w:b/>
              <w:bCs/>
              <w:sz w:val="32"/>
              <w:szCs w:val="32"/>
            </w:rPr>
            <w:t>目</w:t>
          </w:r>
          <w:r>
            <w:rPr>
              <w:rFonts w:hint="eastAsia" w:ascii="宋体" w:hAnsi="宋体" w:eastAsia="宋体"/>
              <w:b/>
              <w:bCs/>
              <w:sz w:val="32"/>
              <w:szCs w:val="32"/>
              <w:lang w:eastAsia="zh-CN"/>
            </w:rPr>
            <w:t xml:space="preserve">  </w:t>
          </w:r>
          <w:r>
            <w:rPr>
              <w:rFonts w:ascii="宋体" w:hAnsi="宋体" w:eastAsia="宋体"/>
              <w:b/>
              <w:bCs/>
              <w:sz w:val="32"/>
              <w:szCs w:val="32"/>
            </w:rPr>
            <w:t>录</w:t>
          </w:r>
        </w:p>
        <w:p w14:paraId="75A38333">
          <w:pPr>
            <w:pStyle w:val="26"/>
            <w:tabs>
              <w:tab w:val="right" w:leader="dot" w:pos="9406"/>
            </w:tabs>
            <w:rPr>
              <w:rFonts w:eastAsia="宋体"/>
              <w:sz w:val="28"/>
              <w:szCs w:val="28"/>
              <w:lang w:eastAsia="zh-CN"/>
            </w:rPr>
          </w:pPr>
        </w:p>
        <w:p w14:paraId="13304891">
          <w:pPr>
            <w:pStyle w:val="26"/>
            <w:tabs>
              <w:tab w:val="right" w:leader="dot" w:pos="9406"/>
            </w:tabs>
            <w:rPr>
              <w:kern w:val="2"/>
              <w:szCs w:val="24"/>
              <w:lang w:eastAsia="zh-CN"/>
              <w14:ligatures w14:val="standardContextual"/>
            </w:rPr>
          </w:pPr>
          <w:r>
            <w:rPr>
              <w:sz w:val="28"/>
              <w:szCs w:val="28"/>
            </w:rPr>
            <w:fldChar w:fldCharType="begin"/>
          </w:r>
          <w:r>
            <w:rPr>
              <w:sz w:val="28"/>
              <w:szCs w:val="28"/>
            </w:rPr>
            <w:instrText xml:space="preserve">TOC \o "1-2" \h \u </w:instrText>
          </w:r>
          <w:r>
            <w:rPr>
              <w:sz w:val="28"/>
              <w:szCs w:val="28"/>
            </w:rPr>
            <w:fldChar w:fldCharType="separate"/>
          </w:r>
          <w:r>
            <w:fldChar w:fldCharType="begin"/>
          </w:r>
          <w:r>
            <w:instrText xml:space="preserve"> HYPERLINK \l "_Toc239953169" </w:instrText>
          </w:r>
          <w:r>
            <w:fldChar w:fldCharType="separate"/>
          </w:r>
          <w:r>
            <w:rPr>
              <w:rStyle w:val="139"/>
              <w:rFonts w:hint="eastAsia" w:ascii="黑体" w:hAnsi="黑体" w:eastAsia="黑体" w:cs="黑体"/>
              <w:lang w:eastAsia="zh-CN"/>
            </w:rPr>
            <w:t>第一章  总则</w:t>
          </w:r>
          <w:r>
            <w:rPr>
              <w:rFonts w:hint="eastAsia"/>
            </w:rPr>
            <w:tab/>
          </w:r>
          <w:r>
            <w:rPr>
              <w:rFonts w:hint="eastAsia"/>
            </w:rPr>
            <w:fldChar w:fldCharType="begin"/>
          </w:r>
          <w:r>
            <w:rPr>
              <w:rFonts w:hint="eastAsia"/>
            </w:rPr>
            <w:instrText xml:space="preserve"> </w:instrText>
          </w:r>
          <w:r>
            <w:instrText xml:space="preserve">PAGEREF _Toc239953169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3E5CAEF4">
          <w:pPr>
            <w:pStyle w:val="26"/>
            <w:tabs>
              <w:tab w:val="right" w:leader="dot" w:pos="9406"/>
            </w:tabs>
            <w:rPr>
              <w:kern w:val="2"/>
              <w:szCs w:val="24"/>
              <w:lang w:eastAsia="zh-CN"/>
              <w14:ligatures w14:val="standardContextual"/>
            </w:rPr>
          </w:pPr>
          <w:r>
            <w:fldChar w:fldCharType="begin"/>
          </w:r>
          <w:r>
            <w:instrText xml:space="preserve"> HYPERLINK \l "_Toc239953170" </w:instrText>
          </w:r>
          <w:r>
            <w:fldChar w:fldCharType="separate"/>
          </w:r>
          <w:r>
            <w:rPr>
              <w:rStyle w:val="139"/>
              <w:rFonts w:hint="eastAsia" w:ascii="黑体" w:hAnsi="黑体" w:eastAsia="黑体" w:cs="黑体"/>
              <w:lang w:eastAsia="zh-CN"/>
            </w:rPr>
            <w:t>第二章  梁子湖区概况</w:t>
          </w:r>
          <w:r>
            <w:rPr>
              <w:rFonts w:hint="eastAsia"/>
            </w:rPr>
            <w:tab/>
          </w:r>
          <w:r>
            <w:rPr>
              <w:rFonts w:hint="eastAsia"/>
            </w:rPr>
            <w:fldChar w:fldCharType="begin"/>
          </w:r>
          <w:r>
            <w:rPr>
              <w:rFonts w:hint="eastAsia"/>
            </w:rPr>
            <w:instrText xml:space="preserve"> </w:instrText>
          </w:r>
          <w:r>
            <w:instrText xml:space="preserve">PAGEREF _Toc239953170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04B09D09">
          <w:pPr>
            <w:pStyle w:val="26"/>
            <w:tabs>
              <w:tab w:val="right" w:leader="dot" w:pos="9406"/>
            </w:tabs>
            <w:rPr>
              <w:kern w:val="2"/>
              <w:szCs w:val="24"/>
              <w:lang w:eastAsia="zh-CN"/>
              <w14:ligatures w14:val="standardContextual"/>
            </w:rPr>
          </w:pPr>
          <w:r>
            <w:fldChar w:fldCharType="begin"/>
          </w:r>
          <w:r>
            <w:instrText xml:space="preserve"> HYPERLINK \l "_Toc239953171" </w:instrText>
          </w:r>
          <w:r>
            <w:fldChar w:fldCharType="separate"/>
          </w:r>
          <w:r>
            <w:rPr>
              <w:rStyle w:val="139"/>
              <w:rFonts w:hint="eastAsia" w:ascii="黑体" w:hAnsi="黑体" w:eastAsia="黑体" w:cs="黑体"/>
              <w:lang w:eastAsia="zh-CN"/>
            </w:rPr>
            <w:t>第三章  底线管控</w:t>
          </w:r>
          <w:r>
            <w:rPr>
              <w:rFonts w:hint="eastAsia"/>
            </w:rPr>
            <w:tab/>
          </w:r>
          <w:r>
            <w:rPr>
              <w:rFonts w:hint="eastAsia"/>
            </w:rPr>
            <w:fldChar w:fldCharType="begin"/>
          </w:r>
          <w:r>
            <w:rPr>
              <w:rFonts w:hint="eastAsia"/>
            </w:rPr>
            <w:instrText xml:space="preserve"> </w:instrText>
          </w:r>
          <w:r>
            <w:instrText xml:space="preserve">PAGEREF _Toc239953171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0685264F">
          <w:pPr>
            <w:pStyle w:val="26"/>
            <w:tabs>
              <w:tab w:val="right" w:leader="dot" w:pos="9406"/>
            </w:tabs>
            <w:rPr>
              <w:kern w:val="2"/>
              <w:szCs w:val="24"/>
              <w:lang w:eastAsia="zh-CN"/>
              <w14:ligatures w14:val="standardContextual"/>
            </w:rPr>
          </w:pPr>
          <w:r>
            <w:fldChar w:fldCharType="begin"/>
          </w:r>
          <w:r>
            <w:instrText xml:space="preserve"> HYPERLINK \l "_Toc239953172" </w:instrText>
          </w:r>
          <w:r>
            <w:fldChar w:fldCharType="separate"/>
          </w:r>
          <w:r>
            <w:rPr>
              <w:rStyle w:val="139"/>
              <w:rFonts w:hint="eastAsia" w:ascii="黑体" w:hAnsi="黑体" w:eastAsia="黑体" w:cs="黑体"/>
              <w:lang w:eastAsia="zh-CN"/>
            </w:rPr>
            <w:t>第四章  建设管控</w:t>
          </w:r>
          <w:r>
            <w:rPr>
              <w:rFonts w:hint="eastAsia"/>
            </w:rPr>
            <w:tab/>
          </w:r>
          <w:r>
            <w:rPr>
              <w:rFonts w:hint="eastAsia"/>
            </w:rPr>
            <w:fldChar w:fldCharType="begin"/>
          </w:r>
          <w:r>
            <w:rPr>
              <w:rFonts w:hint="eastAsia"/>
            </w:rPr>
            <w:instrText xml:space="preserve"> </w:instrText>
          </w:r>
          <w:r>
            <w:instrText xml:space="preserve">PAGEREF _Toc239953172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3D1B557A">
          <w:pPr>
            <w:pStyle w:val="29"/>
            <w:tabs>
              <w:tab w:val="right" w:leader="dot" w:pos="9406"/>
            </w:tabs>
            <w:ind w:left="440"/>
            <w:rPr>
              <w:kern w:val="2"/>
              <w:szCs w:val="24"/>
              <w:lang w:eastAsia="zh-CN"/>
              <w14:ligatures w14:val="standardContextual"/>
            </w:rPr>
          </w:pPr>
          <w:r>
            <w:fldChar w:fldCharType="begin"/>
          </w:r>
          <w:r>
            <w:instrText xml:space="preserve"> HYPERLINK \l "_Toc239953173" </w:instrText>
          </w:r>
          <w:r>
            <w:fldChar w:fldCharType="separate"/>
          </w:r>
          <w:r>
            <w:rPr>
              <w:rStyle w:val="139"/>
              <w:rFonts w:hint="eastAsia" w:ascii="楷体" w:hAnsi="楷体" w:eastAsia="楷体" w:cs="楷体"/>
              <w:lang w:eastAsia="zh-CN"/>
            </w:rPr>
            <w:t>第一节  村庄建设边界管控</w:t>
          </w:r>
          <w:r>
            <w:rPr>
              <w:rFonts w:hint="eastAsia"/>
            </w:rPr>
            <w:tab/>
          </w:r>
          <w:r>
            <w:rPr>
              <w:rFonts w:hint="eastAsia"/>
            </w:rPr>
            <w:fldChar w:fldCharType="begin"/>
          </w:r>
          <w:r>
            <w:rPr>
              <w:rFonts w:hint="eastAsia"/>
            </w:rPr>
            <w:instrText xml:space="preserve"> </w:instrText>
          </w:r>
          <w:r>
            <w:instrText xml:space="preserve">PAGEREF _Toc239953173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5CAB0CAC">
          <w:pPr>
            <w:pStyle w:val="29"/>
            <w:tabs>
              <w:tab w:val="right" w:leader="dot" w:pos="9406"/>
            </w:tabs>
            <w:ind w:left="440"/>
            <w:rPr>
              <w:kern w:val="2"/>
              <w:szCs w:val="24"/>
              <w:lang w:eastAsia="zh-CN"/>
              <w14:ligatures w14:val="standardContextual"/>
            </w:rPr>
          </w:pPr>
          <w:r>
            <w:fldChar w:fldCharType="begin"/>
          </w:r>
          <w:r>
            <w:instrText xml:space="preserve"> HYPERLINK \l "_Toc239953174" </w:instrText>
          </w:r>
          <w:r>
            <w:fldChar w:fldCharType="separate"/>
          </w:r>
          <w:r>
            <w:rPr>
              <w:rStyle w:val="139"/>
              <w:rFonts w:hint="eastAsia" w:ascii="楷体" w:hAnsi="楷体" w:eastAsia="楷体" w:cs="楷体"/>
              <w:lang w:eastAsia="zh-CN"/>
            </w:rPr>
            <w:t>第二节  村庄建设管控</w:t>
          </w:r>
          <w:r>
            <w:rPr>
              <w:rFonts w:hint="eastAsia"/>
            </w:rPr>
            <w:tab/>
          </w:r>
          <w:r>
            <w:rPr>
              <w:rFonts w:hint="eastAsia"/>
            </w:rPr>
            <w:fldChar w:fldCharType="begin"/>
          </w:r>
          <w:r>
            <w:rPr>
              <w:rFonts w:hint="eastAsia"/>
            </w:rPr>
            <w:instrText xml:space="preserve"> </w:instrText>
          </w:r>
          <w:r>
            <w:instrText xml:space="preserve">PAGEREF _Toc239953174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29121D25">
          <w:pPr>
            <w:pStyle w:val="26"/>
            <w:tabs>
              <w:tab w:val="right" w:leader="dot" w:pos="9406"/>
            </w:tabs>
            <w:rPr>
              <w:kern w:val="2"/>
              <w:szCs w:val="24"/>
              <w:lang w:eastAsia="zh-CN"/>
              <w14:ligatures w14:val="standardContextual"/>
            </w:rPr>
          </w:pPr>
          <w:r>
            <w:fldChar w:fldCharType="begin"/>
          </w:r>
          <w:r>
            <w:instrText xml:space="preserve"> HYPERLINK \l "_Toc239953175" </w:instrText>
          </w:r>
          <w:r>
            <w:fldChar w:fldCharType="separate"/>
          </w:r>
          <w:r>
            <w:rPr>
              <w:rStyle w:val="139"/>
              <w:rFonts w:hint="eastAsia" w:ascii="黑体" w:hAnsi="黑体" w:eastAsia="黑体" w:cs="黑体"/>
              <w:lang w:eastAsia="zh-CN"/>
            </w:rPr>
            <w:t>第五章  其他管控指引</w:t>
          </w:r>
          <w:r>
            <w:rPr>
              <w:rFonts w:hint="eastAsia"/>
            </w:rPr>
            <w:tab/>
          </w:r>
          <w:r>
            <w:rPr>
              <w:rFonts w:hint="eastAsia"/>
            </w:rPr>
            <w:fldChar w:fldCharType="begin"/>
          </w:r>
          <w:r>
            <w:rPr>
              <w:rFonts w:hint="eastAsia"/>
            </w:rPr>
            <w:instrText xml:space="preserve"> </w:instrText>
          </w:r>
          <w:r>
            <w:instrText xml:space="preserve">PAGEREF _Toc239953175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36F4D52E">
          <w:pPr>
            <w:pStyle w:val="29"/>
            <w:tabs>
              <w:tab w:val="right" w:leader="dot" w:pos="9406"/>
            </w:tabs>
            <w:ind w:left="440"/>
            <w:rPr>
              <w:kern w:val="2"/>
              <w:szCs w:val="24"/>
              <w:lang w:eastAsia="zh-CN"/>
              <w14:ligatures w14:val="standardContextual"/>
            </w:rPr>
          </w:pPr>
          <w:r>
            <w:fldChar w:fldCharType="begin"/>
          </w:r>
          <w:r>
            <w:instrText xml:space="preserve"> HYPERLINK \l "_Toc239953176" </w:instrText>
          </w:r>
          <w:r>
            <w:fldChar w:fldCharType="separate"/>
          </w:r>
          <w:r>
            <w:rPr>
              <w:rStyle w:val="139"/>
              <w:rFonts w:hint="eastAsia" w:ascii="楷体" w:hAnsi="楷体" w:eastAsia="楷体" w:cs="楷体"/>
              <w:lang w:eastAsia="zh-CN"/>
            </w:rPr>
            <w:t>第一节  土地使用控制</w:t>
          </w:r>
          <w:r>
            <w:rPr>
              <w:rFonts w:hint="eastAsia"/>
            </w:rPr>
            <w:tab/>
          </w:r>
          <w:r>
            <w:rPr>
              <w:rFonts w:hint="eastAsia"/>
            </w:rPr>
            <w:fldChar w:fldCharType="begin"/>
          </w:r>
          <w:r>
            <w:rPr>
              <w:rFonts w:hint="eastAsia"/>
            </w:rPr>
            <w:instrText xml:space="preserve"> </w:instrText>
          </w:r>
          <w:r>
            <w:instrText xml:space="preserve">PAGEREF _Toc239953176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69A31D26">
          <w:pPr>
            <w:pStyle w:val="29"/>
            <w:tabs>
              <w:tab w:val="right" w:leader="dot" w:pos="9406"/>
            </w:tabs>
            <w:ind w:left="440"/>
            <w:rPr>
              <w:kern w:val="2"/>
              <w:szCs w:val="24"/>
              <w:lang w:eastAsia="zh-CN"/>
              <w14:ligatures w14:val="standardContextual"/>
            </w:rPr>
          </w:pPr>
          <w:r>
            <w:fldChar w:fldCharType="begin"/>
          </w:r>
          <w:r>
            <w:instrText xml:space="preserve"> HYPERLINK \l "_Toc239953177" </w:instrText>
          </w:r>
          <w:r>
            <w:fldChar w:fldCharType="separate"/>
          </w:r>
          <w:r>
            <w:rPr>
              <w:rStyle w:val="139"/>
              <w:rFonts w:hint="eastAsia" w:ascii="楷体" w:hAnsi="楷体" w:eastAsia="楷体" w:cs="楷体"/>
              <w:lang w:eastAsia="zh-CN"/>
            </w:rPr>
            <w:t>第二节  建筑风貌管控指引</w:t>
          </w:r>
          <w:r>
            <w:rPr>
              <w:rFonts w:hint="eastAsia"/>
            </w:rPr>
            <w:tab/>
          </w:r>
          <w:r>
            <w:rPr>
              <w:rFonts w:hint="eastAsia"/>
            </w:rPr>
            <w:fldChar w:fldCharType="begin"/>
          </w:r>
          <w:r>
            <w:rPr>
              <w:rFonts w:hint="eastAsia"/>
            </w:rPr>
            <w:instrText xml:space="preserve"> </w:instrText>
          </w:r>
          <w:r>
            <w:instrText xml:space="preserve">PAGEREF _Toc239953177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14:paraId="31A23A09">
          <w:pPr>
            <w:pStyle w:val="29"/>
            <w:tabs>
              <w:tab w:val="right" w:leader="dot" w:pos="9406"/>
            </w:tabs>
            <w:ind w:left="440"/>
            <w:rPr>
              <w:kern w:val="2"/>
              <w:szCs w:val="24"/>
              <w:lang w:eastAsia="zh-CN"/>
              <w14:ligatures w14:val="standardContextual"/>
            </w:rPr>
          </w:pPr>
          <w:r>
            <w:fldChar w:fldCharType="begin"/>
          </w:r>
          <w:r>
            <w:instrText xml:space="preserve"> HYPERLINK \l "_Toc239953178" </w:instrText>
          </w:r>
          <w:r>
            <w:fldChar w:fldCharType="separate"/>
          </w:r>
          <w:r>
            <w:rPr>
              <w:rStyle w:val="139"/>
              <w:rFonts w:hint="eastAsia" w:ascii="楷体" w:hAnsi="楷体" w:eastAsia="楷体" w:cs="楷体"/>
              <w:lang w:eastAsia="zh-CN"/>
            </w:rPr>
            <w:t>第三节 人居环境整治</w:t>
          </w:r>
          <w:r>
            <w:rPr>
              <w:rFonts w:hint="eastAsia"/>
            </w:rPr>
            <w:tab/>
          </w:r>
          <w:r>
            <w:rPr>
              <w:rFonts w:hint="eastAsia"/>
            </w:rPr>
            <w:fldChar w:fldCharType="begin"/>
          </w:r>
          <w:r>
            <w:rPr>
              <w:rFonts w:hint="eastAsia"/>
            </w:rPr>
            <w:instrText xml:space="preserve"> </w:instrText>
          </w:r>
          <w:r>
            <w:instrText xml:space="preserve">PAGEREF _Toc239953178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14:paraId="37992F15">
          <w:pPr>
            <w:pStyle w:val="29"/>
            <w:tabs>
              <w:tab w:val="right" w:leader="dot" w:pos="9406"/>
            </w:tabs>
            <w:ind w:left="440"/>
            <w:rPr>
              <w:kern w:val="2"/>
              <w:szCs w:val="24"/>
              <w:lang w:eastAsia="zh-CN"/>
              <w14:ligatures w14:val="standardContextual"/>
            </w:rPr>
          </w:pPr>
          <w:r>
            <w:fldChar w:fldCharType="begin"/>
          </w:r>
          <w:r>
            <w:instrText xml:space="preserve"> HYPERLINK \l "_Toc239953179" </w:instrText>
          </w:r>
          <w:r>
            <w:fldChar w:fldCharType="separate"/>
          </w:r>
          <w:r>
            <w:rPr>
              <w:rStyle w:val="139"/>
              <w:rFonts w:hint="eastAsia" w:ascii="楷体" w:hAnsi="楷体" w:eastAsia="楷体" w:cs="楷体"/>
              <w:lang w:eastAsia="zh-CN"/>
            </w:rPr>
            <w:t>第四节  历史文化遗产管控</w:t>
          </w:r>
          <w:r>
            <w:rPr>
              <w:rFonts w:hint="eastAsia"/>
            </w:rPr>
            <w:tab/>
          </w:r>
          <w:r>
            <w:rPr>
              <w:rFonts w:hint="eastAsia"/>
            </w:rPr>
            <w:fldChar w:fldCharType="begin"/>
          </w:r>
          <w:r>
            <w:rPr>
              <w:rFonts w:hint="eastAsia"/>
            </w:rPr>
            <w:instrText xml:space="preserve"> </w:instrText>
          </w:r>
          <w:r>
            <w:instrText xml:space="preserve">PAGEREF _Toc239953179 \h</w:instrText>
          </w:r>
          <w:r>
            <w:rPr>
              <w:rFonts w:hint="eastAsia"/>
            </w:rPr>
            <w:instrText xml:space="preserve"> </w:instrText>
          </w:r>
          <w:r>
            <w:rPr>
              <w:rFonts w:hint="eastAsia"/>
            </w:rPr>
            <w:fldChar w:fldCharType="separate"/>
          </w:r>
          <w:r>
            <w:t>23</w:t>
          </w:r>
          <w:r>
            <w:rPr>
              <w:rFonts w:hint="eastAsia"/>
            </w:rPr>
            <w:fldChar w:fldCharType="end"/>
          </w:r>
          <w:r>
            <w:rPr>
              <w:rFonts w:hint="eastAsia"/>
            </w:rPr>
            <w:fldChar w:fldCharType="end"/>
          </w:r>
        </w:p>
        <w:p w14:paraId="0AAFFADE">
          <w:pPr>
            <w:pStyle w:val="26"/>
            <w:tabs>
              <w:tab w:val="right" w:leader="dot" w:pos="9406"/>
            </w:tabs>
            <w:rPr>
              <w:kern w:val="2"/>
              <w:szCs w:val="24"/>
              <w:lang w:eastAsia="zh-CN"/>
              <w14:ligatures w14:val="standardContextual"/>
            </w:rPr>
          </w:pPr>
          <w:r>
            <w:fldChar w:fldCharType="begin"/>
          </w:r>
          <w:r>
            <w:instrText xml:space="preserve"> HYPERLINK \l "_Toc239953180" </w:instrText>
          </w:r>
          <w:r>
            <w:fldChar w:fldCharType="separate"/>
          </w:r>
          <w:r>
            <w:rPr>
              <w:rStyle w:val="139"/>
              <w:rFonts w:hint="eastAsia" w:ascii="黑体" w:hAnsi="黑体" w:eastAsia="黑体" w:cs="黑体"/>
              <w:lang w:eastAsia="zh-CN"/>
            </w:rPr>
            <w:t>第六章  重点地块图则</w:t>
          </w:r>
          <w:r>
            <w:rPr>
              <w:rFonts w:hint="eastAsia"/>
            </w:rPr>
            <w:tab/>
          </w:r>
          <w:r>
            <w:rPr>
              <w:rFonts w:hint="eastAsia"/>
            </w:rPr>
            <w:fldChar w:fldCharType="begin"/>
          </w:r>
          <w:r>
            <w:rPr>
              <w:rFonts w:hint="eastAsia"/>
            </w:rPr>
            <w:instrText xml:space="preserve"> </w:instrText>
          </w:r>
          <w:r>
            <w:instrText xml:space="preserve">PAGEREF _Toc239953180 \h</w:instrText>
          </w:r>
          <w:r>
            <w:rPr>
              <w:rFonts w:hint="eastAsia"/>
            </w:rPr>
            <w:instrText xml:space="preserve"> </w:instrText>
          </w:r>
          <w:r>
            <w:rPr>
              <w:rFonts w:hint="eastAsia"/>
            </w:rPr>
            <w:fldChar w:fldCharType="separate"/>
          </w:r>
          <w:r>
            <w:t>24</w:t>
          </w:r>
          <w:r>
            <w:rPr>
              <w:rFonts w:hint="eastAsia"/>
            </w:rPr>
            <w:fldChar w:fldCharType="end"/>
          </w:r>
          <w:r>
            <w:rPr>
              <w:rFonts w:hint="eastAsia"/>
            </w:rPr>
            <w:fldChar w:fldCharType="end"/>
          </w:r>
        </w:p>
        <w:p w14:paraId="1C37E001">
          <w:pPr>
            <w:pStyle w:val="26"/>
            <w:tabs>
              <w:tab w:val="right" w:leader="dot" w:pos="9406"/>
            </w:tabs>
            <w:rPr>
              <w:kern w:val="2"/>
              <w:szCs w:val="24"/>
              <w:lang w:eastAsia="zh-CN"/>
              <w14:ligatures w14:val="standardContextual"/>
            </w:rPr>
          </w:pPr>
          <w:r>
            <w:fldChar w:fldCharType="begin"/>
          </w:r>
          <w:r>
            <w:instrText xml:space="preserve"> HYPERLINK \l "_Toc239953181" </w:instrText>
          </w:r>
          <w:r>
            <w:fldChar w:fldCharType="separate"/>
          </w:r>
          <w:r>
            <w:rPr>
              <w:rStyle w:val="139"/>
              <w:rFonts w:hint="eastAsia" w:ascii="黑体" w:hAnsi="黑体" w:eastAsia="黑体" w:cs="黑体"/>
              <w:lang w:eastAsia="zh-CN"/>
            </w:rPr>
            <w:t>第七章  附则</w:t>
          </w:r>
          <w:r>
            <w:rPr>
              <w:rFonts w:hint="eastAsia"/>
            </w:rPr>
            <w:tab/>
          </w:r>
          <w:r>
            <w:rPr>
              <w:rFonts w:hint="eastAsia"/>
            </w:rPr>
            <w:fldChar w:fldCharType="begin"/>
          </w:r>
          <w:r>
            <w:rPr>
              <w:rFonts w:hint="eastAsia"/>
            </w:rPr>
            <w:instrText xml:space="preserve"> </w:instrText>
          </w:r>
          <w:r>
            <w:instrText xml:space="preserve">PAGEREF _Toc239953181 \h</w:instrText>
          </w:r>
          <w:r>
            <w:rPr>
              <w:rFonts w:hint="eastAsia"/>
            </w:rPr>
            <w:instrText xml:space="preserve"> </w:instrText>
          </w:r>
          <w:r>
            <w:rPr>
              <w:rFonts w:hint="eastAsia"/>
            </w:rPr>
            <w:fldChar w:fldCharType="separate"/>
          </w:r>
          <w:r>
            <w:t>26</w:t>
          </w:r>
          <w:r>
            <w:rPr>
              <w:rFonts w:hint="eastAsia"/>
            </w:rPr>
            <w:fldChar w:fldCharType="end"/>
          </w:r>
          <w:r>
            <w:rPr>
              <w:rFonts w:hint="eastAsia"/>
            </w:rPr>
            <w:fldChar w:fldCharType="end"/>
          </w:r>
        </w:p>
        <w:p w14:paraId="68D59100">
          <w:pPr>
            <w:pStyle w:val="29"/>
            <w:tabs>
              <w:tab w:val="right" w:leader="dot" w:pos="9406"/>
            </w:tabs>
            <w:ind w:left="440"/>
            <w:rPr>
              <w:sz w:val="24"/>
              <w:szCs w:val="24"/>
            </w:rPr>
          </w:pPr>
          <w:r>
            <w:rPr>
              <w:sz w:val="24"/>
              <w:szCs w:val="28"/>
            </w:rPr>
            <w:fldChar w:fldCharType="end"/>
          </w:r>
        </w:p>
      </w:sdtContent>
    </w:sdt>
    <w:p w14:paraId="127C6680">
      <w:pPr>
        <w:pStyle w:val="3"/>
        <w:jc w:val="center"/>
        <w:rPr>
          <w:rFonts w:ascii="黑体" w:hAnsi="黑体" w:eastAsia="黑体" w:cs="黑体"/>
          <w:color w:val="auto"/>
          <w:sz w:val="32"/>
          <w:szCs w:val="32"/>
          <w:lang w:eastAsia="zh-CN"/>
        </w:rPr>
        <w:sectPr>
          <w:footerReference r:id="rId5" w:type="default"/>
          <w:pgSz w:w="11906" w:h="16838"/>
          <w:pgMar w:top="1440" w:right="1440" w:bottom="724" w:left="1440" w:header="720" w:footer="720" w:gutter="0"/>
          <w:cols w:space="720" w:num="1"/>
          <w:docGrid w:linePitch="360" w:charSpace="0"/>
        </w:sectPr>
      </w:pPr>
      <w:bookmarkStart w:id="0" w:name="_Toc239953169"/>
    </w:p>
    <w:p w14:paraId="04A3D6EF">
      <w:pPr>
        <w:pStyle w:val="3"/>
        <w:jc w:val="center"/>
        <w:rPr>
          <w:rFonts w:ascii="黑体" w:hAnsi="黑体" w:eastAsia="黑体" w:cs="黑体"/>
          <w:color w:val="auto"/>
          <w:sz w:val="32"/>
          <w:szCs w:val="32"/>
          <w:lang w:eastAsia="zh-CN"/>
        </w:rPr>
      </w:pPr>
      <w:r>
        <w:rPr>
          <w:rFonts w:hint="eastAsia" w:ascii="黑体" w:hAnsi="黑体" w:eastAsia="黑体" w:cs="黑体"/>
          <w:color w:val="auto"/>
          <w:sz w:val="32"/>
          <w:szCs w:val="32"/>
          <w:lang w:eastAsia="zh-CN"/>
        </w:rPr>
        <w:t>第一章  总则</w:t>
      </w:r>
      <w:bookmarkEnd w:id="0"/>
    </w:p>
    <w:p w14:paraId="063512B6">
      <w:pPr>
        <w:rPr>
          <w:rFonts w:eastAsia="宋体"/>
          <w:lang w:eastAsia="zh-CN"/>
        </w:rPr>
      </w:pPr>
    </w:p>
    <w:p w14:paraId="1C7936EA">
      <w:pPr>
        <w:pStyle w:val="5"/>
        <w:rPr>
          <w:color w:val="auto"/>
        </w:rPr>
      </w:pPr>
      <w:r>
        <w:rPr>
          <w:rFonts w:hint="eastAsia"/>
          <w:color w:val="auto"/>
        </w:rPr>
        <w:t>编制目的</w:t>
      </w:r>
    </w:p>
    <w:p w14:paraId="713C694D">
      <w:pPr>
        <w:autoSpaceDE w:val="0"/>
        <w:autoSpaceDN w:val="0"/>
        <w:spacing w:after="0" w:line="576" w:lineRule="exact"/>
        <w:ind w:left="146" w:right="178" w:firstLine="642"/>
        <w:jc w:val="both"/>
        <w:rPr>
          <w:rFonts w:ascii="仿宋_GB2312" w:hAnsi="仿宋_GB2312" w:eastAsia="仿宋_GB2312"/>
          <w:sz w:val="32"/>
          <w:lang w:eastAsia="zh-CN"/>
        </w:rPr>
      </w:pPr>
      <w:r>
        <w:rPr>
          <w:rFonts w:hint="eastAsia" w:ascii="仿宋_GB2312" w:hAnsi="仿宋_GB2312" w:eastAsia="仿宋_GB2312"/>
          <w:sz w:val="32"/>
          <w:lang w:eastAsia="zh-CN"/>
        </w:rPr>
        <w:t>为深入贯彻落实《中共中央</w:t>
      </w:r>
      <w:r>
        <w:rPr>
          <w:rFonts w:ascii="仿宋_GB2312" w:hAnsi="仿宋_GB2312" w:eastAsia="仿宋_GB2312"/>
          <w:sz w:val="32"/>
          <w:lang w:eastAsia="zh-CN"/>
        </w:rPr>
        <w:t xml:space="preserve"> </w:t>
      </w:r>
      <w:r>
        <w:rPr>
          <w:rFonts w:hint="eastAsia" w:ascii="仿宋_GB2312" w:hAnsi="仿宋_GB2312" w:eastAsia="仿宋_GB2312"/>
          <w:sz w:val="32"/>
          <w:lang w:eastAsia="zh-CN"/>
        </w:rPr>
        <w:t>国务院关于建立国土空间规划体系并监督实施的若干意见》（中发〔</w:t>
      </w:r>
      <w:r>
        <w:rPr>
          <w:rFonts w:ascii="仿宋_GB2312" w:hAnsi="仿宋_GB2312" w:eastAsia="仿宋_GB2312"/>
          <w:sz w:val="32"/>
          <w:lang w:eastAsia="zh-CN"/>
        </w:rPr>
        <w:t>2019</w:t>
      </w:r>
      <w:r>
        <w:rPr>
          <w:rFonts w:hint="eastAsia" w:ascii="仿宋_GB2312" w:hAnsi="仿宋_GB2312" w:eastAsia="仿宋_GB2312"/>
          <w:sz w:val="32"/>
          <w:lang w:eastAsia="zh-CN"/>
        </w:rPr>
        <w:t>〕</w:t>
      </w:r>
      <w:r>
        <w:rPr>
          <w:rFonts w:ascii="仿宋_GB2312" w:hAnsi="仿宋_GB2312" w:eastAsia="仿宋_GB2312"/>
          <w:sz w:val="32"/>
          <w:lang w:eastAsia="zh-CN"/>
        </w:rPr>
        <w:t>18</w:t>
      </w:r>
      <w:r>
        <w:rPr>
          <w:rFonts w:hint="eastAsia" w:ascii="仿宋_GB2312" w:hAnsi="仿宋_GB2312" w:eastAsia="仿宋_GB2312"/>
          <w:sz w:val="32"/>
          <w:lang w:eastAsia="zh-CN"/>
        </w:rPr>
        <w:t>号），依据《自然资源部关于加强国土空间详细规划工作的通知》（自然资发〔</w:t>
      </w:r>
      <w:r>
        <w:rPr>
          <w:rFonts w:ascii="仿宋_GB2312" w:hAnsi="仿宋_GB2312" w:eastAsia="仿宋_GB2312"/>
          <w:sz w:val="32"/>
          <w:lang w:eastAsia="zh-CN"/>
        </w:rPr>
        <w:t>2023</w:t>
      </w:r>
      <w:r>
        <w:rPr>
          <w:rFonts w:hint="eastAsia" w:ascii="仿宋_GB2312" w:hAnsi="仿宋_GB2312" w:eastAsia="仿宋_GB2312"/>
          <w:sz w:val="32"/>
          <w:lang w:eastAsia="zh-CN"/>
        </w:rPr>
        <w:t>〕</w:t>
      </w:r>
      <w:r>
        <w:rPr>
          <w:rFonts w:ascii="仿宋_GB2312" w:hAnsi="仿宋_GB2312" w:eastAsia="仿宋_GB2312"/>
          <w:sz w:val="32"/>
          <w:lang w:eastAsia="zh-CN"/>
        </w:rPr>
        <w:t>43</w:t>
      </w:r>
      <w:r>
        <w:rPr>
          <w:rFonts w:hint="eastAsia" w:ascii="仿宋_GB2312" w:hAnsi="仿宋_GB2312" w:eastAsia="仿宋_GB2312"/>
          <w:sz w:val="32"/>
          <w:lang w:eastAsia="zh-CN"/>
        </w:rPr>
        <w:t>号）和《省自然资源厅关于高质量做好国土空间详细规划工作的通知》（鄂自然资发〔</w:t>
      </w:r>
      <w:r>
        <w:rPr>
          <w:rFonts w:ascii="仿宋_GB2312" w:hAnsi="仿宋_GB2312" w:eastAsia="仿宋_GB2312"/>
          <w:sz w:val="32"/>
          <w:lang w:eastAsia="zh-CN"/>
        </w:rPr>
        <w:t>2026</w:t>
      </w:r>
      <w:r>
        <w:rPr>
          <w:rFonts w:hint="eastAsia" w:ascii="仿宋_GB2312" w:hAnsi="仿宋_GB2312" w:eastAsia="仿宋_GB2312"/>
          <w:sz w:val="32"/>
          <w:lang w:eastAsia="zh-CN"/>
        </w:rPr>
        <w:t>〕</w:t>
      </w:r>
      <w:r>
        <w:rPr>
          <w:rFonts w:ascii="仿宋_GB2312" w:hAnsi="仿宋_GB2312" w:eastAsia="仿宋_GB2312"/>
          <w:sz w:val="32"/>
          <w:lang w:eastAsia="zh-CN"/>
        </w:rPr>
        <w:t>5</w:t>
      </w:r>
      <w:r>
        <w:rPr>
          <w:rFonts w:hint="eastAsia" w:ascii="仿宋_GB2312" w:hAnsi="仿宋_GB2312" w:eastAsia="仿宋_GB2312"/>
          <w:sz w:val="32"/>
          <w:lang w:eastAsia="zh-CN"/>
        </w:rPr>
        <w:t>号）等文件，积极推进乡村地区空间规划管理全覆盖，结合梁子湖区村庄发展实际，制定梁子湖区乡村地区“通则式”规划技术管理规定（以下简称本规定），依法报批后作为梁子湖区乡村规划建设管理的依据。</w:t>
      </w:r>
    </w:p>
    <w:p w14:paraId="1AFB4A4D">
      <w:pPr>
        <w:pStyle w:val="5"/>
        <w:rPr>
          <w:color w:val="auto"/>
        </w:rPr>
      </w:pPr>
      <w:r>
        <w:rPr>
          <w:rFonts w:hint="eastAsia"/>
          <w:color w:val="auto"/>
        </w:rPr>
        <w:t>法律效力</w:t>
      </w:r>
    </w:p>
    <w:p w14:paraId="6157E2C2">
      <w:pPr>
        <w:autoSpaceDE w:val="0"/>
        <w:autoSpaceDN w:val="0"/>
        <w:spacing w:after="0" w:line="576" w:lineRule="exact"/>
        <w:ind w:left="146" w:right="178" w:firstLine="642"/>
        <w:jc w:val="both"/>
        <w:rPr>
          <w:rFonts w:ascii="仿宋_GB2312" w:hAnsi="仿宋_GB2312" w:eastAsia="仿宋_GB2312"/>
          <w:sz w:val="32"/>
          <w:lang w:eastAsia="zh-CN"/>
        </w:rPr>
      </w:pPr>
      <w:r>
        <w:rPr>
          <w:rFonts w:hint="eastAsia" w:ascii="仿宋_GB2312" w:hAnsi="仿宋_GB2312" w:eastAsia="仿宋_GB2312"/>
          <w:sz w:val="32"/>
          <w:lang w:eastAsia="zh-CN"/>
        </w:rPr>
        <w:t>本规定是梁子湖区国土空间规划体系的重要组成部分，是梁子湖区乡村地区开展国土空间开发保护活动、实施国土空间用途管制、核发建设项目规划许可、进行各项开发保护建设活动的法定依据。</w:t>
      </w:r>
    </w:p>
    <w:p w14:paraId="35A094F3">
      <w:pPr>
        <w:pStyle w:val="5"/>
        <w:rPr>
          <w:color w:val="auto"/>
        </w:rPr>
      </w:pPr>
      <w:r>
        <w:rPr>
          <w:color w:val="auto"/>
        </w:rPr>
        <w:t>适用范围</w:t>
      </w:r>
    </w:p>
    <w:p w14:paraId="13A3A89A">
      <w:pPr>
        <w:autoSpaceDE w:val="0"/>
        <w:autoSpaceDN w:val="0"/>
        <w:spacing w:after="0" w:line="576" w:lineRule="exact"/>
        <w:ind w:left="146" w:right="178" w:firstLine="642"/>
        <w:jc w:val="both"/>
        <w:rPr>
          <w:rFonts w:ascii="仿宋_GB2312" w:hAnsi="仿宋_GB2312" w:eastAsia="仿宋_GB2312"/>
          <w:sz w:val="32"/>
          <w:lang w:eastAsia="zh-CN"/>
        </w:rPr>
      </w:pPr>
      <w:r>
        <w:rPr>
          <w:rFonts w:hint="eastAsia" w:ascii="仿宋_GB2312" w:hAnsi="仿宋_GB2312" w:eastAsia="仿宋_GB2312"/>
          <w:sz w:val="32"/>
          <w:lang w:eastAsia="zh-CN"/>
        </w:rPr>
        <w:t>规定适用于城镇开发边界外乡村地区建设用地的规划管理。</w:t>
      </w:r>
    </w:p>
    <w:p w14:paraId="0887D3C5">
      <w:pPr>
        <w:autoSpaceDE w:val="0"/>
        <w:autoSpaceDN w:val="0"/>
        <w:spacing w:after="0" w:line="576" w:lineRule="exact"/>
        <w:ind w:left="146" w:right="178" w:firstLine="642"/>
        <w:jc w:val="both"/>
        <w:rPr>
          <w:rFonts w:ascii="仿宋_GB2312" w:hAnsi="仿宋_GB2312" w:eastAsia="仿宋_GB2312"/>
          <w:sz w:val="32"/>
          <w:lang w:eastAsia="zh-CN"/>
        </w:rPr>
      </w:pPr>
      <w:r>
        <w:rPr>
          <w:rFonts w:hint="eastAsia" w:ascii="仿宋_GB2312" w:hAnsi="仿宋_GB2312" w:eastAsia="仿宋_GB2312"/>
          <w:sz w:val="32"/>
          <w:lang w:eastAsia="zh-CN"/>
        </w:rPr>
        <w:t>已编制村庄规划的区域，应优先执行法定村庄规划；对规划未明确管控要求的内容，可参照本规定执行。</w:t>
      </w:r>
    </w:p>
    <w:p w14:paraId="55339267">
      <w:pPr>
        <w:autoSpaceDE w:val="0"/>
        <w:autoSpaceDN w:val="0"/>
        <w:spacing w:after="0" w:line="576" w:lineRule="exact"/>
        <w:ind w:left="146" w:right="178" w:firstLine="642"/>
        <w:jc w:val="both"/>
        <w:rPr>
          <w:rFonts w:ascii="仿宋_GB2312" w:hAnsi="仿宋_GB2312" w:eastAsia="仿宋_GB2312"/>
          <w:sz w:val="32"/>
          <w:lang w:eastAsia="zh-CN"/>
        </w:rPr>
      </w:pPr>
      <w:r>
        <w:rPr>
          <w:rFonts w:hint="eastAsia" w:ascii="仿宋_GB2312" w:hAnsi="仿宋_GB2312" w:eastAsia="仿宋_GB2312"/>
          <w:sz w:val="32"/>
          <w:lang w:eastAsia="zh-CN"/>
        </w:rPr>
        <w:t>城镇开发边界外村庄规划未覆盖的乡村建设项目，可依据本规定核发规划许可，具体包括：村民住宅建设项目、乡村基础设施与公共服务设施建设项目、乡村产业发展项目、其他符合乡村发展需求的建设项目。涉及农用地转用审批的，应按照国家和省市相关规定办理。</w:t>
      </w:r>
    </w:p>
    <w:p w14:paraId="36844A7E">
      <w:pPr>
        <w:pStyle w:val="5"/>
        <w:rPr>
          <w:color w:val="auto"/>
        </w:rPr>
      </w:pPr>
      <w:r>
        <w:rPr>
          <w:color w:val="auto"/>
        </w:rPr>
        <w:t>编制原则</w:t>
      </w:r>
    </w:p>
    <w:p w14:paraId="5741407C">
      <w:pPr>
        <w:autoSpaceDE w:val="0"/>
        <w:autoSpaceDN w:val="0"/>
        <w:spacing w:after="0" w:line="576" w:lineRule="exact"/>
        <w:ind w:left="146" w:right="178" w:firstLine="642"/>
        <w:jc w:val="both"/>
        <w:rPr>
          <w:rFonts w:ascii="仿宋_GB2312" w:hAnsi="仿宋" w:eastAsia="仿宋_GB2312"/>
          <w:lang w:eastAsia="zh-CN"/>
        </w:rPr>
      </w:pPr>
      <w:r>
        <w:rPr>
          <w:rFonts w:hint="eastAsia" w:ascii="仿宋_GB2312" w:hAnsi="仿宋" w:eastAsia="仿宋_GB2312"/>
          <w:sz w:val="32"/>
          <w:lang w:eastAsia="zh-CN"/>
        </w:rPr>
        <w:t>坚守底线、安全发展。严格落实上位规划确定的重要控制线与规划分区管控要求，严守耕地和永久基本农田保护红线、生态保护红线等空间底线，保护各类优质自然景观资源和历史文化资源，保障各项乡村建设活动安全。</w:t>
      </w:r>
    </w:p>
    <w:p w14:paraId="67820C79">
      <w:pPr>
        <w:autoSpaceDE w:val="0"/>
        <w:autoSpaceDN w:val="0"/>
        <w:spacing w:after="0" w:line="576" w:lineRule="exact"/>
        <w:ind w:left="146" w:right="178" w:firstLine="642"/>
        <w:jc w:val="both"/>
        <w:rPr>
          <w:rFonts w:ascii="仿宋_GB2312" w:hAnsi="仿宋_GB2312" w:eastAsia="仿宋_GB2312"/>
          <w:sz w:val="32"/>
          <w:lang w:eastAsia="zh-CN"/>
        </w:rPr>
      </w:pPr>
      <w:r>
        <w:rPr>
          <w:rFonts w:hint="eastAsia" w:ascii="仿宋_GB2312" w:hAnsi="仿宋_GB2312" w:eastAsia="仿宋_GB2312"/>
          <w:sz w:val="32"/>
          <w:lang w:eastAsia="zh-CN"/>
        </w:rPr>
        <w:t>挖潜存量，集约高效。正确处理资源保护与开发利用的关系，严控村庄建设用地总量，深入挖潜存量村庄建设用地，合理统筹各类资源要素，提升土地资源节约集约利用水平，促进高质量发展。</w:t>
      </w:r>
    </w:p>
    <w:p w14:paraId="46644A30">
      <w:pPr>
        <w:autoSpaceDE w:val="0"/>
        <w:autoSpaceDN w:val="0"/>
        <w:spacing w:after="0" w:line="576" w:lineRule="exact"/>
        <w:ind w:left="146" w:right="178" w:firstLine="642"/>
        <w:jc w:val="both"/>
        <w:rPr>
          <w:rFonts w:ascii="仿宋_GB2312" w:hAnsi="仿宋_GB2312" w:eastAsia="仿宋_GB2312"/>
          <w:sz w:val="32"/>
          <w:lang w:eastAsia="zh-CN"/>
        </w:rPr>
      </w:pPr>
      <w:r>
        <w:rPr>
          <w:rFonts w:hint="eastAsia" w:ascii="仿宋_GB2312" w:hAnsi="仿宋_GB2312" w:eastAsia="仿宋_GB2312"/>
          <w:sz w:val="32"/>
          <w:lang w:eastAsia="zh-CN"/>
        </w:rPr>
        <w:t>以人为本，提升品质。坚持以人民为中心的发展思想，充分尊重农民意愿，依法保障农民土地合法权益，保障乡村产业发展、基础设施和公共服务设施建设等，持续改善乡村地区人居环境质量，全面提升乡村空间品质。</w:t>
      </w:r>
    </w:p>
    <w:p w14:paraId="1B38B75D">
      <w:pPr>
        <w:autoSpaceDE w:val="0"/>
        <w:autoSpaceDN w:val="0"/>
        <w:spacing w:after="0" w:line="576" w:lineRule="exact"/>
        <w:ind w:left="146" w:right="178" w:firstLine="642"/>
        <w:jc w:val="both"/>
        <w:rPr>
          <w:rFonts w:ascii="仿宋_GB2312" w:hAnsi="仿宋_GB2312" w:eastAsia="仿宋_GB2312"/>
          <w:sz w:val="32"/>
          <w:lang w:eastAsia="zh-CN"/>
        </w:rPr>
      </w:pPr>
      <w:r>
        <w:rPr>
          <w:rFonts w:hint="eastAsia" w:ascii="仿宋_GB2312" w:hAnsi="仿宋_GB2312" w:eastAsia="仿宋_GB2312"/>
          <w:sz w:val="32"/>
          <w:lang w:eastAsia="zh-CN"/>
        </w:rPr>
        <w:t>因地制宜，突出特色。坚持一切从实际出发，尊重自然地理、空间肌理、建筑风貌和文化习俗的多样性，突出地域人文特色。注重保护传统村落形态，保持当地乡土风情</w:t>
      </w:r>
      <w:r>
        <w:rPr>
          <w:rFonts w:ascii="仿宋_GB2312" w:hAnsi="仿宋_GB2312" w:eastAsia="仿宋_GB2312"/>
          <w:sz w:val="32"/>
          <w:lang w:eastAsia="zh-CN"/>
        </w:rPr>
        <w:t>,</w:t>
      </w:r>
      <w:r>
        <w:rPr>
          <w:rFonts w:hint="eastAsia" w:ascii="仿宋_GB2312" w:hAnsi="仿宋_GB2312" w:eastAsia="仿宋_GB2312"/>
          <w:sz w:val="32"/>
          <w:lang w:eastAsia="zh-CN"/>
        </w:rPr>
        <w:t>推动形成具有地域特色、记得住乡愁的美丽乡村</w:t>
      </w:r>
      <w:r>
        <w:rPr>
          <w:rFonts w:ascii="仿宋_GB2312" w:hAnsi="仿宋_GB2312" w:eastAsia="仿宋_GB2312"/>
          <w:sz w:val="32"/>
          <w:lang w:eastAsia="zh-CN"/>
        </w:rPr>
        <w:t>。</w:t>
      </w:r>
    </w:p>
    <w:p w14:paraId="69DF2B99">
      <w:pPr>
        <w:pStyle w:val="3"/>
        <w:jc w:val="center"/>
        <w:rPr>
          <w:rFonts w:ascii="仿宋_GB2312" w:hAnsi="仿宋_GB2312" w:eastAsia="仿宋_GB2312"/>
          <w:b w:val="0"/>
          <w:color w:val="auto"/>
          <w:sz w:val="32"/>
          <w:lang w:eastAsia="zh-CN"/>
        </w:rPr>
      </w:pPr>
      <w:bookmarkStart w:id="1" w:name="_Toc239953170"/>
      <w:r>
        <w:rPr>
          <w:rFonts w:hint="eastAsia" w:ascii="黑体" w:hAnsi="黑体" w:eastAsia="黑体" w:cs="黑体"/>
          <w:color w:val="auto"/>
          <w:sz w:val="32"/>
          <w:szCs w:val="32"/>
          <w:lang w:eastAsia="zh-CN"/>
        </w:rPr>
        <w:t>第二章  梁子湖区概况</w:t>
      </w:r>
      <w:bookmarkEnd w:id="1"/>
    </w:p>
    <w:p w14:paraId="31986AFE">
      <w:pPr>
        <w:pStyle w:val="5"/>
        <w:rPr>
          <w:rFonts w:ascii="仿宋_GB2312" w:hAnsi="仿宋_GB2312"/>
          <w:color w:val="auto"/>
        </w:rPr>
      </w:pPr>
      <w:r>
        <w:rPr>
          <w:rFonts w:hint="eastAsia"/>
          <w:color w:val="auto"/>
        </w:rPr>
        <w:t>梁子湖区概况</w:t>
      </w:r>
    </w:p>
    <w:p w14:paraId="5BA40495">
      <w:pPr>
        <w:autoSpaceDE w:val="0"/>
        <w:autoSpaceDN w:val="0"/>
        <w:spacing w:after="0" w:line="576" w:lineRule="exact"/>
        <w:ind w:left="146" w:right="178" w:firstLine="642"/>
        <w:jc w:val="both"/>
        <w:rPr>
          <w:rFonts w:ascii="仿宋_GB2312" w:hAnsi="仿宋_GB2312" w:eastAsia="仿宋_GB2312"/>
          <w:sz w:val="32"/>
          <w:lang w:eastAsia="zh-CN"/>
        </w:rPr>
      </w:pPr>
      <w:r>
        <w:rPr>
          <w:rFonts w:hint="eastAsia" w:ascii="仿宋_GB2312" w:hAnsi="仿宋_GB2312" w:eastAsia="仿宋_GB2312"/>
          <w:sz w:val="32"/>
          <w:lang w:eastAsia="zh-CN"/>
        </w:rPr>
        <w:t>梁子湖区，隶属于湖北省鄂州市，地处长江中游南岸，位于湖北省东南部，鄂州市南部，东南与黄石大冶接壤，西南与武汉市江夏区、东湖高新技术开发区毗连，北与鄂州市华容区、鄂城区相邻。辖东沟、梁子、沼山、太和、涂家垴共</w:t>
      </w:r>
      <w:r>
        <w:rPr>
          <w:rFonts w:ascii="仿宋_GB2312" w:hAnsi="仿宋_GB2312" w:eastAsia="仿宋_GB2312"/>
          <w:sz w:val="32"/>
          <w:lang w:eastAsia="zh-CN"/>
        </w:rPr>
        <w:t>5</w:t>
      </w:r>
      <w:r>
        <w:rPr>
          <w:rFonts w:hint="eastAsia" w:ascii="仿宋_GB2312" w:hAnsi="仿宋_GB2312" w:eastAsia="仿宋_GB2312"/>
          <w:sz w:val="32"/>
          <w:lang w:eastAsia="zh-CN"/>
        </w:rPr>
        <w:t>个乡镇和梧桐湖园区，共有</w:t>
      </w:r>
      <w:r>
        <w:rPr>
          <w:rFonts w:ascii="仿宋_GB2312" w:hAnsi="仿宋_GB2312" w:eastAsia="仿宋_GB2312"/>
          <w:sz w:val="32"/>
          <w:lang w:eastAsia="zh-CN"/>
        </w:rPr>
        <w:t>87</w:t>
      </w:r>
      <w:r>
        <w:rPr>
          <w:rFonts w:hint="eastAsia" w:ascii="仿宋_GB2312" w:hAnsi="仿宋_GB2312" w:eastAsia="仿宋_GB2312"/>
          <w:sz w:val="32"/>
          <w:lang w:eastAsia="zh-CN"/>
        </w:rPr>
        <w:t>个村（居委会）。</w:t>
      </w:r>
    </w:p>
    <w:p w14:paraId="225EB815">
      <w:pPr>
        <w:pStyle w:val="3"/>
        <w:jc w:val="center"/>
        <w:rPr>
          <w:color w:val="auto"/>
          <w:lang w:eastAsia="zh-CN"/>
        </w:rPr>
      </w:pPr>
      <w:bookmarkStart w:id="2" w:name="_Toc239953171"/>
      <w:r>
        <w:rPr>
          <w:rFonts w:hint="eastAsia" w:ascii="黑体" w:hAnsi="黑体" w:eastAsia="黑体" w:cs="黑体"/>
          <w:color w:val="auto"/>
          <w:sz w:val="32"/>
          <w:szCs w:val="32"/>
          <w:lang w:eastAsia="zh-CN"/>
        </w:rPr>
        <w:t>第三章  底线管控</w:t>
      </w:r>
      <w:bookmarkEnd w:id="2"/>
    </w:p>
    <w:p w14:paraId="26C8B261">
      <w:pPr>
        <w:pStyle w:val="5"/>
        <w:rPr>
          <w:color w:val="auto"/>
        </w:rPr>
      </w:pPr>
      <w:r>
        <w:rPr>
          <w:rFonts w:hint="eastAsia"/>
          <w:color w:val="auto"/>
        </w:rPr>
        <w:t>耕地和永久基本农田管控</w:t>
      </w:r>
    </w:p>
    <w:p w14:paraId="06271F08">
      <w:pPr>
        <w:autoSpaceDE w:val="0"/>
        <w:autoSpaceDN w:val="0"/>
        <w:spacing w:after="0" w:line="576" w:lineRule="exact"/>
        <w:ind w:left="146" w:right="178" w:firstLine="642"/>
        <w:jc w:val="both"/>
        <w:rPr>
          <w:rFonts w:ascii="仿宋_GB2312" w:hAnsi="仿宋_GB2312" w:eastAsia="仿宋_GB2312"/>
          <w:sz w:val="32"/>
          <w:lang w:eastAsia="zh-CN"/>
        </w:rPr>
      </w:pPr>
      <w:r>
        <w:rPr>
          <w:rFonts w:ascii="仿宋_GB2312" w:hAnsi="仿宋_GB2312" w:eastAsia="仿宋_GB2312"/>
          <w:sz w:val="32"/>
          <w:lang w:eastAsia="zh-CN"/>
        </w:rPr>
        <w:t>严格落实上位规划下达的耕地保护目标，全区耕地保护目标不低于</w:t>
      </w:r>
      <w:r>
        <w:rPr>
          <w:rFonts w:hint="eastAsia" w:ascii="仿宋_GB2312" w:hAnsi="仿宋_GB2312" w:eastAsia="仿宋_GB2312"/>
          <w:sz w:val="32"/>
          <w:lang w:eastAsia="zh-CN"/>
        </w:rPr>
        <w:t>21.01</w:t>
      </w:r>
      <w:r>
        <w:rPr>
          <w:rFonts w:ascii="仿宋_GB2312" w:hAnsi="仿宋_GB2312" w:eastAsia="仿宋_GB2312"/>
          <w:sz w:val="32"/>
          <w:lang w:eastAsia="zh-CN"/>
        </w:rPr>
        <w:t>万亩。落实最严格的耕地保护制度，强化耕地用途管制，坚决遏制耕地“非农化”，防止耕地“非粮化”，坚决守住耕地保护红线。</w:t>
      </w:r>
    </w:p>
    <w:p w14:paraId="7C700847">
      <w:pPr>
        <w:autoSpaceDE w:val="0"/>
        <w:autoSpaceDN w:val="0"/>
        <w:spacing w:after="0" w:line="576" w:lineRule="exact"/>
        <w:ind w:left="146" w:right="178" w:firstLine="642"/>
        <w:jc w:val="both"/>
        <w:rPr>
          <w:rFonts w:ascii="仿宋_GB2312" w:hAnsi="仿宋_GB2312" w:eastAsia="仿宋_GB2312"/>
          <w:sz w:val="32"/>
          <w:lang w:eastAsia="zh-CN"/>
        </w:rPr>
      </w:pPr>
      <w:r>
        <w:rPr>
          <w:rFonts w:hint="eastAsia" w:ascii="仿宋_GB2312" w:hAnsi="仿宋" w:eastAsia="仿宋_GB2312"/>
          <w:sz w:val="32"/>
          <w:lang w:eastAsia="zh-CN"/>
        </w:rPr>
        <w:t>严格落实上位规划下达的永久基本农田保护目标，至2035年，全区永久基本农田保护面积不低于19.07万亩。</w:t>
      </w:r>
      <w:r>
        <w:rPr>
          <w:rFonts w:hint="eastAsia" w:ascii="仿宋_GB2312" w:hAnsi="仿宋_GB2312" w:eastAsia="仿宋_GB2312"/>
          <w:sz w:val="32"/>
          <w:lang w:eastAsia="zh-CN"/>
        </w:rPr>
        <w:t>永久基本农田不得转为林地、草地、园地等其他农用地及农业设施建设用地。严禁占用永久基本农田发展林果业和挖塘养鱼；严禁占用永久基本农田种植苗木、草皮等用于绿化装饰以及其他破坏耕作层的植物；严禁占用永久基本农田挖湖造景、建设绿化带；严禁新增占用永久基本农田建设畜禽养殖设施、水产养殖设施和破坏耕作层的种植业设施。</w:t>
      </w:r>
    </w:p>
    <w:p w14:paraId="57C81CB9">
      <w:pPr>
        <w:pStyle w:val="5"/>
        <w:rPr>
          <w:color w:val="auto"/>
        </w:rPr>
      </w:pPr>
      <w:r>
        <w:rPr>
          <w:rFonts w:hint="eastAsia"/>
          <w:color w:val="auto"/>
        </w:rPr>
        <w:t>生态保护红线管控</w:t>
      </w:r>
    </w:p>
    <w:p w14:paraId="3302CFD5">
      <w:pPr>
        <w:autoSpaceDE w:val="0"/>
        <w:autoSpaceDN w:val="0"/>
        <w:spacing w:after="0" w:line="576" w:lineRule="exact"/>
        <w:ind w:left="146" w:right="178" w:firstLine="642"/>
        <w:jc w:val="both"/>
        <w:rPr>
          <w:rFonts w:ascii="仿宋_GB2312" w:hAnsi="仿宋" w:eastAsia="仿宋_GB2312"/>
          <w:lang w:eastAsia="zh-CN"/>
        </w:rPr>
      </w:pPr>
      <w:r>
        <w:rPr>
          <w:rFonts w:hint="eastAsia" w:ascii="仿宋_GB2312" w:hAnsi="仿宋" w:eastAsia="仿宋_GB2312"/>
          <w:sz w:val="32"/>
          <w:lang w:eastAsia="zh-CN"/>
        </w:rPr>
        <w:t>严格落实上位规划划定的生态保护红线保护目标，全区生态保护红线划定面积为216.17平方千米。生态保护红线内，自然保护地核心保护区原则上禁止人为活动。其他区域禁止开发性、生产性建设活动，在符合法律法规的前提下，仅允许开展对生态功能不造成破坏的有限人为活动。</w:t>
      </w:r>
    </w:p>
    <w:p w14:paraId="0679EEDF">
      <w:pPr>
        <w:pStyle w:val="5"/>
        <w:rPr>
          <w:color w:val="auto"/>
        </w:rPr>
      </w:pPr>
      <w:r>
        <w:rPr>
          <w:rFonts w:hint="eastAsia"/>
          <w:color w:val="auto"/>
        </w:rPr>
        <w:t>其他重要控制线管控</w:t>
      </w:r>
    </w:p>
    <w:p w14:paraId="42CEE6CA">
      <w:pPr>
        <w:autoSpaceDE w:val="0"/>
        <w:autoSpaceDN w:val="0"/>
        <w:spacing w:after="0" w:line="576" w:lineRule="exact"/>
        <w:ind w:left="146" w:right="178" w:firstLine="642"/>
        <w:jc w:val="both"/>
        <w:rPr>
          <w:rFonts w:ascii="仿宋_GB2312" w:hAnsi="仿宋_GB2312" w:eastAsia="仿宋_GB2312"/>
          <w:sz w:val="32"/>
          <w:lang w:eastAsia="zh-CN"/>
        </w:rPr>
      </w:pPr>
      <w:r>
        <w:rPr>
          <w:rFonts w:hint="eastAsia" w:ascii="仿宋_GB2312" w:hAnsi="仿宋_GB2312" w:eastAsia="仿宋_GB2312"/>
          <w:sz w:val="32"/>
          <w:lang w:eastAsia="zh-CN"/>
        </w:rPr>
        <w:t>历史文化保护线。落实</w:t>
      </w:r>
      <w:r>
        <w:rPr>
          <w:rFonts w:ascii="仿宋_GB2312" w:hAnsi="仿宋_GB2312" w:eastAsia="仿宋_GB2312"/>
          <w:sz w:val="32"/>
          <w:lang w:eastAsia="zh-CN"/>
        </w:rPr>
        <w:t>107</w:t>
      </w:r>
      <w:r>
        <w:rPr>
          <w:rFonts w:hint="eastAsia" w:ascii="仿宋_GB2312" w:hAnsi="仿宋_GB2312" w:eastAsia="仿宋_GB2312"/>
          <w:sz w:val="32"/>
          <w:lang w:eastAsia="zh-CN"/>
        </w:rPr>
        <w:t>处（</w:t>
      </w:r>
      <w:r>
        <w:rPr>
          <w:rFonts w:ascii="仿宋_GB2312" w:hAnsi="仿宋_GB2312" w:eastAsia="仿宋_GB2312"/>
          <w:sz w:val="32"/>
          <w:lang w:eastAsia="zh-CN"/>
        </w:rPr>
        <w:t>108</w:t>
      </w:r>
      <w:r>
        <w:rPr>
          <w:rFonts w:hint="eastAsia" w:ascii="仿宋_GB2312" w:hAnsi="仿宋_GB2312" w:eastAsia="仿宋_GB2312"/>
          <w:sz w:val="32"/>
          <w:lang w:eastAsia="zh-CN"/>
        </w:rPr>
        <w:t>个）文物保护单位的保护和管理，其中省级文物保护单位</w:t>
      </w:r>
      <w:r>
        <w:rPr>
          <w:rFonts w:ascii="仿宋_GB2312" w:hAnsi="仿宋_GB2312" w:eastAsia="仿宋_GB2312"/>
          <w:sz w:val="32"/>
          <w:lang w:eastAsia="zh-CN"/>
        </w:rPr>
        <w:t>5</w:t>
      </w:r>
      <w:r>
        <w:rPr>
          <w:rFonts w:hint="eastAsia" w:ascii="仿宋_GB2312" w:hAnsi="仿宋_GB2312" w:eastAsia="仿宋_GB2312"/>
          <w:sz w:val="32"/>
          <w:lang w:eastAsia="zh-CN"/>
        </w:rPr>
        <w:t>处（</w:t>
      </w:r>
      <w:r>
        <w:rPr>
          <w:rFonts w:ascii="仿宋_GB2312" w:hAnsi="仿宋_GB2312" w:eastAsia="仿宋_GB2312"/>
          <w:sz w:val="32"/>
          <w:lang w:eastAsia="zh-CN"/>
        </w:rPr>
        <w:t>6</w:t>
      </w:r>
      <w:r>
        <w:rPr>
          <w:rFonts w:hint="eastAsia" w:ascii="仿宋_GB2312" w:hAnsi="仿宋_GB2312" w:eastAsia="仿宋_GB2312"/>
          <w:sz w:val="32"/>
          <w:lang w:eastAsia="zh-CN"/>
        </w:rPr>
        <w:t>个），包括胡家老屋、梁子湖窑址（包括柯坟山窑址、瓦窑澥窑址）、金盆垴遗址、太白港桥、张家楼房（又名鄂南军事指挥部旧址）；</w:t>
      </w:r>
      <w:r>
        <w:rPr>
          <w:rFonts w:ascii="仿宋_GB2312" w:hAnsi="仿宋_GB2312" w:eastAsia="仿宋_GB2312"/>
          <w:sz w:val="32"/>
          <w:lang w:eastAsia="zh-CN"/>
        </w:rPr>
        <w:t>市级文物保护单位24处、区级文物保护单位78处。</w:t>
      </w:r>
      <w:r>
        <w:rPr>
          <w:rFonts w:hint="eastAsia" w:ascii="仿宋_GB2312" w:hAnsi="仿宋_GB2312" w:eastAsia="仿宋_GB2312"/>
          <w:sz w:val="32"/>
          <w:lang w:eastAsia="zh-CN"/>
        </w:rPr>
        <w:t>保护市级历史建筑</w:t>
      </w:r>
      <w:r>
        <w:rPr>
          <w:rFonts w:ascii="仿宋_GB2312" w:hAnsi="仿宋_GB2312" w:eastAsia="仿宋_GB2312"/>
          <w:sz w:val="32"/>
          <w:lang w:eastAsia="zh-CN"/>
        </w:rPr>
        <w:t>11</w:t>
      </w:r>
      <w:r>
        <w:rPr>
          <w:rFonts w:hint="eastAsia" w:ascii="仿宋_GB2312" w:hAnsi="仿宋_GB2312" w:eastAsia="仿宋_GB2312"/>
          <w:sz w:val="32"/>
          <w:lang w:eastAsia="zh-CN"/>
        </w:rPr>
        <w:t>处，包括六十口闸、磨刀矶节制闸、牛石岭礼堂、天赐桥、落马桥、刘家兵老屋、纪昌钰老屋、但汉规老屋、刘详福老屋、胡翠娥老屋、虞水舟房屋。历史文化保护线按《中华人民共和国文物保护法》（</w:t>
      </w:r>
      <w:r>
        <w:rPr>
          <w:rFonts w:ascii="仿宋_GB2312" w:hAnsi="仿宋_GB2312" w:eastAsia="仿宋_GB2312"/>
          <w:sz w:val="32"/>
          <w:lang w:eastAsia="zh-CN"/>
        </w:rPr>
        <w:t>2024</w:t>
      </w:r>
      <w:r>
        <w:rPr>
          <w:rFonts w:hint="eastAsia" w:ascii="仿宋_GB2312" w:hAnsi="仿宋_GB2312" w:eastAsia="仿宋_GB2312"/>
          <w:sz w:val="32"/>
          <w:lang w:eastAsia="zh-CN"/>
        </w:rPr>
        <w:t>年修订）</w:t>
      </w:r>
      <w:bookmarkStart w:id="3" w:name="_Hlk235651873"/>
      <w:r>
        <w:rPr>
          <w:rFonts w:hint="eastAsia" w:ascii="仿宋_GB2312" w:hAnsi="仿宋_GB2312" w:eastAsia="仿宋_GB2312"/>
          <w:sz w:val="32"/>
          <w:lang w:eastAsia="zh-CN"/>
        </w:rPr>
        <w:t>《湖北省历史文化名城名镇名村保护条例（草案）》</w:t>
      </w:r>
      <w:bookmarkEnd w:id="3"/>
      <w:r>
        <w:rPr>
          <w:rFonts w:hint="eastAsia" w:ascii="仿宋_GB2312" w:hAnsi="仿宋_GB2312" w:eastAsia="仿宋_GB2312"/>
          <w:sz w:val="32"/>
          <w:lang w:eastAsia="zh-CN"/>
        </w:rPr>
        <w:t>等相应法律法规、政策文件，以及批复的国土空间总体规划、历史文化保护专项规划、传统村落保护发展规划等进行保护管理。</w:t>
      </w:r>
    </w:p>
    <w:p w14:paraId="082574CF">
      <w:pPr>
        <w:autoSpaceDE w:val="0"/>
        <w:autoSpaceDN w:val="0"/>
        <w:spacing w:after="0" w:line="576" w:lineRule="exact"/>
        <w:ind w:left="146" w:right="178" w:firstLine="642"/>
        <w:jc w:val="both"/>
        <w:rPr>
          <w:rFonts w:ascii="仿宋_GB2312" w:hAnsi="仿宋" w:eastAsia="仿宋_GB2312"/>
          <w:sz w:val="32"/>
          <w:lang w:eastAsia="zh-CN"/>
        </w:rPr>
      </w:pPr>
      <w:r>
        <w:rPr>
          <w:rFonts w:hint="eastAsia" w:ascii="仿宋_GB2312" w:hAnsi="仿宋" w:eastAsia="仿宋_GB2312"/>
          <w:sz w:val="32"/>
          <w:lang w:eastAsia="zh-CN"/>
        </w:rPr>
        <w:t>矿产资源控制线。严格落实上位规划中划定的梁子湖区重点矿区、限制开采区和禁止开采区管控要求。梁子湖区共划定勘查规划区块4个，包括省级出让登记的矿泉水勘查规划区块1个、铝土矿勘查规划区块1个，市级出让登记的膨润土勘查规划区块2个；共划定开采规划区块4个，包括省级出让登记矿种的矿泉水开采规划区块1个，市级出让登记矿种的建筑用安山岩开采规划区块1个、膨润土开采规划区块2个。矿产资源开发控制线按《中华人民共和国矿产资源法》（2024年修订）及国家和湖北省相关政策进行管控。控制线内的土地和矿产资源受到保护，不能随意开采、开发和利用，同时避免乡村建设项目的空间布局压覆控制线内的矿产资源。</w:t>
      </w:r>
    </w:p>
    <w:p w14:paraId="01D5DC2B">
      <w:pPr>
        <w:tabs>
          <w:tab w:val="left" w:pos="788"/>
        </w:tabs>
        <w:autoSpaceDE w:val="0"/>
        <w:autoSpaceDN w:val="0"/>
        <w:spacing w:after="0" w:line="576" w:lineRule="exact"/>
        <w:ind w:firstLine="640" w:firstLineChars="200"/>
        <w:rPr>
          <w:rFonts w:ascii="仿宋_GB2312" w:hAnsi="仿宋_GB2312" w:eastAsia="仿宋_GB2312"/>
          <w:sz w:val="32"/>
          <w:lang w:eastAsia="zh-CN"/>
        </w:rPr>
      </w:pPr>
      <w:r>
        <w:rPr>
          <w:rFonts w:ascii="仿宋_GB2312" w:hAnsi="仿宋_GB2312" w:eastAsia="仿宋_GB2312"/>
          <w:sz w:val="32"/>
          <w:lang w:eastAsia="zh-CN"/>
        </w:rPr>
        <w:t>洪涝风险控制线</w:t>
      </w:r>
      <w:r>
        <w:rPr>
          <w:rFonts w:hint="eastAsia" w:ascii="仿宋_GB2312" w:hAnsi="仿宋_GB2312" w:eastAsia="仿宋_GB2312"/>
          <w:sz w:val="32"/>
          <w:lang w:eastAsia="zh-CN"/>
        </w:rPr>
        <w:t>。</w:t>
      </w:r>
      <w:r>
        <w:rPr>
          <w:rFonts w:ascii="仿宋_GB2312" w:hAnsi="仿宋_GB2312" w:eastAsia="仿宋_GB2312"/>
          <w:sz w:val="32"/>
          <w:lang w:eastAsia="zh-CN"/>
        </w:rPr>
        <w:t>严格落实上位规划划定的洪涝风险控制线</w:t>
      </w:r>
      <w:r>
        <w:rPr>
          <w:rFonts w:hint="eastAsia" w:ascii="仿宋_GB2312" w:hAnsi="仿宋_GB2312" w:eastAsia="仿宋_GB2312"/>
          <w:sz w:val="32"/>
          <w:lang w:eastAsia="zh-CN"/>
        </w:rPr>
        <w:t>，包括，面积</w:t>
      </w:r>
      <w:r>
        <w:rPr>
          <w:rFonts w:ascii="仿宋_GB2312" w:hAnsi="仿宋_GB2312" w:eastAsia="仿宋_GB2312"/>
          <w:sz w:val="32"/>
          <w:lang w:eastAsia="zh-CN"/>
        </w:rPr>
        <w:t>120</w:t>
      </w:r>
      <w:r>
        <w:rPr>
          <w:rFonts w:hint="eastAsia" w:ascii="仿宋_GB2312" w:hAnsi="仿宋_GB2312" w:eastAsia="仿宋_GB2312"/>
          <w:sz w:val="32"/>
          <w:lang w:eastAsia="zh-CN"/>
        </w:rPr>
        <w:t>.</w:t>
      </w:r>
      <w:r>
        <w:rPr>
          <w:rFonts w:ascii="仿宋_GB2312" w:hAnsi="仿宋_GB2312" w:eastAsia="仿宋_GB2312"/>
          <w:sz w:val="32"/>
          <w:lang w:eastAsia="zh-CN"/>
        </w:rPr>
        <w:t>15</w:t>
      </w:r>
      <w:r>
        <w:rPr>
          <w:rFonts w:hint="eastAsia" w:ascii="仿宋_GB2312" w:hAnsi="仿宋_GB2312" w:eastAsia="仿宋_GB2312"/>
          <w:sz w:val="32"/>
          <w:lang w:eastAsia="zh-CN"/>
        </w:rPr>
        <w:t>平方千米。</w:t>
      </w:r>
      <w:r>
        <w:rPr>
          <w:rFonts w:ascii="仿宋_GB2312" w:hAnsi="仿宋_GB2312" w:eastAsia="仿宋_GB2312"/>
          <w:sz w:val="32"/>
          <w:lang w:eastAsia="zh-CN"/>
        </w:rPr>
        <w:t>洪涝风险控制线应</w:t>
      </w:r>
      <w:r>
        <w:rPr>
          <w:rFonts w:hint="eastAsia" w:ascii="仿宋_GB2312" w:hAnsi="仿宋_GB2312" w:eastAsia="仿宋_GB2312"/>
          <w:sz w:val="32"/>
          <w:lang w:eastAsia="zh-CN"/>
        </w:rPr>
        <w:t>严格按照</w:t>
      </w:r>
      <w:bookmarkStart w:id="4" w:name="_Hlk235650841"/>
      <w:r>
        <w:rPr>
          <w:rFonts w:hint="eastAsia" w:ascii="仿宋_GB2312" w:hAnsi="仿宋_GB2312" w:eastAsia="仿宋_GB2312"/>
          <w:sz w:val="32"/>
          <w:lang w:eastAsia="zh-CN"/>
        </w:rPr>
        <w:t>《中华人民共和国防洪法》</w:t>
      </w:r>
      <w:bookmarkEnd w:id="4"/>
      <w:r>
        <w:rPr>
          <w:rFonts w:hint="eastAsia" w:ascii="仿宋_GB2312" w:hAnsi="仿宋_GB2312" w:eastAsia="仿宋_GB2312"/>
          <w:sz w:val="32"/>
          <w:lang w:eastAsia="zh-CN"/>
        </w:rPr>
        <w:t>（2016年修正）等进行管控。禁止在河道、湖泊管理范围内建设妨碍行洪的建筑物、构筑物，倾倒垃圾、渣土，从事影响河势稳定、危害河岸堤防安全和其他妨碍河道行洪的活动。禁止在行洪河道内种植阻碍行洪的林木和高秆作物。建设跨河、穿河、穿堤、临河的桥梁、码头、道路、渡口、管道、缆线、取水、排水等工程设施，应当符合防洪标准、岸线规划、航运要求和其他技术要求，不得危害堤防安全，影响河势稳定、妨碍行洪畅通。</w:t>
      </w:r>
    </w:p>
    <w:p w14:paraId="492816C8">
      <w:pPr>
        <w:tabs>
          <w:tab w:val="left" w:pos="788"/>
        </w:tabs>
        <w:autoSpaceDE w:val="0"/>
        <w:autoSpaceDN w:val="0"/>
        <w:spacing w:after="0" w:line="576" w:lineRule="exact"/>
        <w:ind w:firstLine="640" w:firstLineChars="200"/>
        <w:rPr>
          <w:rFonts w:ascii="仿宋_GB2312" w:hAnsi="仿宋_GB2312" w:eastAsia="仿宋_GB2312"/>
          <w:sz w:val="32"/>
          <w:lang w:eastAsia="zh-CN"/>
        </w:rPr>
      </w:pPr>
      <w:r>
        <w:rPr>
          <w:rFonts w:hint="eastAsia" w:ascii="仿宋_GB2312" w:hAnsi="仿宋_GB2312" w:eastAsia="仿宋_GB2312"/>
          <w:sz w:val="32"/>
          <w:lang w:eastAsia="zh-CN"/>
        </w:rPr>
        <w:t>地质灾害控制线。严格按照《地质灾害防治条例》（2003）《湖北省地质灾害防治管理办法》（1995）等进行管控。明确麻城—团风断裂一级断裂带的位置走向，新改及扩建工程应按照相关规范控制最小安全避让距离，引导城镇空间向背离活动断裂方向发展，已有建（构）筑物按有关要求采取搬迁或抗震加固等防范措施。针对分布于太和镇东南部、梧桐湖园区周边的滑坡、崩塌、地面塌陷等主要地质灾害，推进“隐患点</w:t>
      </w:r>
      <w:r>
        <w:rPr>
          <w:rFonts w:ascii="仿宋_GB2312" w:hAnsi="仿宋_GB2312" w:eastAsia="仿宋_GB2312"/>
          <w:sz w:val="32"/>
          <w:lang w:eastAsia="zh-CN"/>
        </w:rPr>
        <w:t>+</w:t>
      </w:r>
      <w:r>
        <w:rPr>
          <w:rFonts w:hint="eastAsia" w:ascii="仿宋_GB2312" w:hAnsi="仿宋_GB2312" w:eastAsia="仿宋_GB2312"/>
          <w:sz w:val="32"/>
          <w:lang w:eastAsia="zh-CN"/>
        </w:rPr>
        <w:t>风险区”双控管理，合理控制沼山镇—太和镇地质灾害高风险区内的人口密度和建筑密度，以保障人民群众生命安全为防灾重点。对地质灾害隐患点开展地质灾害影响性评估，加强重点地区地质灾害的监测和防治，有序实施生态搬迁，主动避险。</w:t>
      </w:r>
    </w:p>
    <w:p w14:paraId="3E2DB681">
      <w:pPr>
        <w:tabs>
          <w:tab w:val="left" w:pos="788"/>
        </w:tabs>
        <w:autoSpaceDE w:val="0"/>
        <w:autoSpaceDN w:val="0"/>
        <w:spacing w:after="0" w:line="576" w:lineRule="exact"/>
        <w:ind w:firstLine="640" w:firstLineChars="200"/>
        <w:rPr>
          <w:rFonts w:ascii="仿宋_GB2312" w:hAnsi="仿宋" w:eastAsia="仿宋_GB2312"/>
          <w:sz w:val="32"/>
          <w:lang w:eastAsia="zh-CN"/>
        </w:rPr>
      </w:pPr>
      <w:r>
        <w:rPr>
          <w:rFonts w:hint="eastAsia" w:ascii="仿宋_GB2312" w:hAnsi="仿宋_GB2312" w:eastAsia="仿宋_GB2312"/>
          <w:sz w:val="32"/>
          <w:lang w:eastAsia="zh-CN"/>
        </w:rPr>
        <w:t>饮用水源地控制线。落实上位规划及主管部门确定的集中式饮用水水源保护区，包括狮子口水库水源地、马龙水库水源地等。</w:t>
      </w:r>
      <w:r>
        <w:rPr>
          <w:rFonts w:hint="eastAsia" w:ascii="仿宋_GB2312" w:hAnsi="仿宋" w:eastAsia="仿宋_GB2312"/>
          <w:sz w:val="32"/>
          <w:lang w:eastAsia="zh-CN"/>
        </w:rPr>
        <w:t>一级水源地保护区内禁止新建、扩建与供水设施和保护水源无关的建设项目，二级水源地保护区内禁止新建、扩建向水体排放污染物的建设项目。饮用水水源保护区严格按照《中华人民共和国环境保护法》</w:t>
      </w:r>
      <w:r>
        <w:rPr>
          <w:rFonts w:ascii="仿宋_GB2312" w:hAnsi="仿宋_GB2312" w:eastAsia="仿宋_GB2312"/>
          <w:sz w:val="32"/>
          <w:lang w:eastAsia="zh-CN"/>
        </w:rPr>
        <w:t>（2014年修订）</w:t>
      </w:r>
      <w:bookmarkStart w:id="5" w:name="_Hlk235973591"/>
      <w:r>
        <w:rPr>
          <w:rFonts w:hint="eastAsia" w:ascii="仿宋_GB2312" w:hAnsi="仿宋" w:eastAsia="仿宋_GB2312"/>
          <w:sz w:val="32"/>
          <w:lang w:eastAsia="zh-CN"/>
        </w:rPr>
        <w:t>《中华人民共和国水法》</w:t>
      </w:r>
      <w:bookmarkEnd w:id="5"/>
      <w:r>
        <w:rPr>
          <w:rFonts w:hint="eastAsia" w:ascii="仿宋_GB2312" w:hAnsi="仿宋" w:eastAsia="仿宋_GB2312"/>
          <w:sz w:val="32"/>
          <w:lang w:eastAsia="zh-CN"/>
        </w:rPr>
        <w:t>（2016年修正）和《湖北省水污染防治条例》</w:t>
      </w:r>
      <w:r>
        <w:rPr>
          <w:rFonts w:ascii="仿宋_GB2312" w:hAnsi="仿宋_GB2312" w:eastAsia="仿宋_GB2312"/>
          <w:sz w:val="32"/>
          <w:lang w:eastAsia="zh-CN"/>
        </w:rPr>
        <w:t>（20</w:t>
      </w:r>
      <w:r>
        <w:rPr>
          <w:rFonts w:hint="eastAsia" w:ascii="仿宋_GB2312" w:hAnsi="仿宋_GB2312" w:eastAsia="仿宋_GB2312"/>
          <w:sz w:val="32"/>
          <w:lang w:eastAsia="zh-CN"/>
        </w:rPr>
        <w:t>22</w:t>
      </w:r>
      <w:r>
        <w:rPr>
          <w:rFonts w:ascii="仿宋_GB2312" w:hAnsi="仿宋_GB2312" w:eastAsia="仿宋_GB2312"/>
          <w:sz w:val="32"/>
          <w:lang w:eastAsia="zh-CN"/>
        </w:rPr>
        <w:t>年修正）</w:t>
      </w:r>
      <w:bookmarkStart w:id="6" w:name="_Hlk235973645"/>
      <w:r>
        <w:rPr>
          <w:rFonts w:hint="eastAsia" w:ascii="仿宋_GB2312" w:hAnsi="仿宋" w:eastAsia="仿宋_GB2312"/>
          <w:sz w:val="32"/>
          <w:lang w:eastAsia="zh-CN"/>
        </w:rPr>
        <w:t>《湖北省农村供水管理办法》</w:t>
      </w:r>
      <w:bookmarkEnd w:id="6"/>
      <w:r>
        <w:rPr>
          <w:rFonts w:ascii="仿宋_GB2312" w:hAnsi="仿宋_GB2312" w:eastAsia="仿宋_GB2312"/>
          <w:sz w:val="32"/>
          <w:lang w:eastAsia="zh-CN"/>
        </w:rPr>
        <w:t>（20</w:t>
      </w:r>
      <w:r>
        <w:rPr>
          <w:rFonts w:hint="eastAsia" w:ascii="仿宋_GB2312" w:hAnsi="仿宋_GB2312" w:eastAsia="仿宋_GB2312"/>
          <w:sz w:val="32"/>
          <w:lang w:eastAsia="zh-CN"/>
        </w:rPr>
        <w:t>24</w:t>
      </w:r>
      <w:r>
        <w:rPr>
          <w:rFonts w:ascii="仿宋_GB2312" w:hAnsi="仿宋_GB2312" w:eastAsia="仿宋_GB2312"/>
          <w:sz w:val="32"/>
          <w:lang w:eastAsia="zh-CN"/>
        </w:rPr>
        <w:t>年修</w:t>
      </w:r>
      <w:r>
        <w:rPr>
          <w:rFonts w:hint="eastAsia" w:ascii="仿宋_GB2312" w:hAnsi="仿宋_GB2312" w:eastAsia="仿宋_GB2312"/>
          <w:sz w:val="32"/>
          <w:lang w:eastAsia="zh-CN"/>
        </w:rPr>
        <w:t>订</w:t>
      </w:r>
      <w:r>
        <w:rPr>
          <w:rFonts w:ascii="仿宋_GB2312" w:hAnsi="仿宋_GB2312" w:eastAsia="仿宋_GB2312"/>
          <w:sz w:val="32"/>
          <w:lang w:eastAsia="zh-CN"/>
        </w:rPr>
        <w:t>）</w:t>
      </w:r>
      <w:r>
        <w:rPr>
          <w:rFonts w:hint="eastAsia" w:ascii="仿宋_GB2312" w:hAnsi="仿宋" w:eastAsia="仿宋_GB2312"/>
          <w:sz w:val="32"/>
          <w:lang w:eastAsia="zh-CN"/>
        </w:rPr>
        <w:t>等法规规定，以及其他有关政策进行管控。</w:t>
      </w:r>
    </w:p>
    <w:p w14:paraId="2CA92944">
      <w:pPr>
        <w:tabs>
          <w:tab w:val="left" w:pos="788"/>
        </w:tabs>
        <w:autoSpaceDE w:val="0"/>
        <w:autoSpaceDN w:val="0"/>
        <w:spacing w:after="0" w:line="576" w:lineRule="exact"/>
        <w:ind w:firstLine="640" w:firstLineChars="200"/>
        <w:rPr>
          <w:rFonts w:ascii="仿宋_GB2312" w:hAnsi="仿宋_GB2312" w:eastAsia="仿宋_GB2312"/>
          <w:sz w:val="32"/>
          <w:lang w:eastAsia="zh-CN"/>
        </w:rPr>
      </w:pPr>
      <w:r>
        <w:rPr>
          <w:rFonts w:hint="eastAsia" w:ascii="仿宋_GB2312" w:hAnsi="仿宋_GB2312" w:eastAsia="仿宋_GB2312"/>
          <w:sz w:val="32"/>
          <w:lang w:eastAsia="zh-CN"/>
        </w:rPr>
        <w:t>河湖管理范围线。以依法依规划定的河湖管理范围线为基础，在堤防和护堤地内，除不得从事国家有关法律、法规禁止的活动外，禁止在堤身种植农作物、铲草、建窑、钻探爆破、采石、取土等。在河道中流放竹木或者进行水产养殖、捕捞作业，不得影响河道行洪、排涝、航运和危及水工程的安全，并服从河道主管部门的安全管理。设置或者扩大向河道排污的排污口，排污单位在向环境保护行政主管部门申报之前，应当征得河道主管部门的同意。在河道管理范围内建设坑道、取水口、排水（污）口、采砂场、临时仓库等工程设施，应当符合防洪标准、岸线规划、水质要求、航运要求和其他技术要求。</w:t>
      </w:r>
    </w:p>
    <w:p w14:paraId="19245937">
      <w:pPr>
        <w:tabs>
          <w:tab w:val="left" w:pos="788"/>
        </w:tabs>
        <w:autoSpaceDE w:val="0"/>
        <w:autoSpaceDN w:val="0"/>
        <w:spacing w:after="0" w:line="576" w:lineRule="exact"/>
        <w:ind w:firstLine="640" w:firstLineChars="200"/>
        <w:rPr>
          <w:rStyle w:val="143"/>
          <w:rFonts w:ascii="黑体" w:hAnsi="黑体" w:eastAsia="黑体" w:cs="黑体"/>
          <w:color w:val="auto"/>
          <w:sz w:val="32"/>
          <w:szCs w:val="32"/>
          <w:lang w:eastAsia="zh-CN"/>
        </w:rPr>
      </w:pPr>
      <w:r>
        <w:rPr>
          <w:rFonts w:hint="eastAsia" w:ascii="仿宋_GB2312" w:hAnsi="仿宋_GB2312" w:eastAsia="仿宋_GB2312"/>
          <w:sz w:val="32"/>
          <w:lang w:eastAsia="zh-CN"/>
        </w:rPr>
        <w:t>重大基础设施廊道。严格落实上位规划确定的高电压等级电力线路、高中压燃气管道、国防光缆等重大基础设施廊道控制范围以及其他法律法规禁止建设建（构）筑物的区域。</w:t>
      </w:r>
      <w:r>
        <w:rPr>
          <w:rFonts w:ascii="仿宋_GB2312" w:hAnsi="仿宋_GB2312" w:eastAsia="仿宋_GB2312"/>
          <w:sz w:val="32"/>
          <w:lang w:eastAsia="zh-CN"/>
        </w:rPr>
        <w:t>220</w:t>
      </w:r>
      <w:r>
        <w:rPr>
          <w:rFonts w:hint="eastAsia" w:ascii="仿宋_GB2312" w:hAnsi="仿宋_GB2312" w:eastAsia="仿宋_GB2312"/>
          <w:sz w:val="32"/>
          <w:lang w:eastAsia="zh-CN"/>
        </w:rPr>
        <w:t>千伏高压走廊设置宽度</w:t>
      </w:r>
      <w:r>
        <w:rPr>
          <w:rFonts w:ascii="仿宋_GB2312" w:hAnsi="仿宋_GB2312" w:eastAsia="仿宋_GB2312"/>
          <w:sz w:val="32"/>
          <w:lang w:eastAsia="zh-CN"/>
        </w:rPr>
        <w:t>30-40</w:t>
      </w:r>
      <w:r>
        <w:rPr>
          <w:rFonts w:hint="eastAsia" w:ascii="仿宋_GB2312" w:hAnsi="仿宋_GB2312" w:eastAsia="仿宋_GB2312"/>
          <w:sz w:val="32"/>
          <w:lang w:eastAsia="zh-CN"/>
        </w:rPr>
        <w:t>米、</w:t>
      </w:r>
      <w:r>
        <w:rPr>
          <w:rFonts w:ascii="仿宋_GB2312" w:hAnsi="仿宋_GB2312" w:eastAsia="仿宋_GB2312"/>
          <w:sz w:val="32"/>
          <w:lang w:eastAsia="zh-CN"/>
        </w:rPr>
        <w:t>110</w:t>
      </w:r>
      <w:r>
        <w:rPr>
          <w:rFonts w:hint="eastAsia" w:ascii="仿宋_GB2312" w:hAnsi="仿宋_GB2312" w:eastAsia="仿宋_GB2312"/>
          <w:sz w:val="32"/>
          <w:lang w:eastAsia="zh-CN"/>
        </w:rPr>
        <w:t>千伏高压走廊设置宽度</w:t>
      </w:r>
      <w:r>
        <w:rPr>
          <w:rFonts w:ascii="仿宋_GB2312" w:hAnsi="仿宋_GB2312" w:eastAsia="仿宋_GB2312"/>
          <w:sz w:val="32"/>
          <w:lang w:eastAsia="zh-CN"/>
        </w:rPr>
        <w:t>15-25</w:t>
      </w:r>
      <w:r>
        <w:rPr>
          <w:rFonts w:hint="eastAsia" w:ascii="仿宋_GB2312" w:hAnsi="仿宋_GB2312" w:eastAsia="仿宋_GB2312"/>
          <w:sz w:val="32"/>
          <w:lang w:eastAsia="zh-CN"/>
        </w:rPr>
        <w:t>米；中压输配管道及附属设施的最小安全控制范围为外缘周边</w:t>
      </w:r>
      <w:r>
        <w:rPr>
          <w:rFonts w:ascii="仿宋_GB2312" w:hAnsi="仿宋_GB2312" w:eastAsia="仿宋_GB2312"/>
          <w:sz w:val="32"/>
          <w:lang w:eastAsia="zh-CN"/>
        </w:rPr>
        <w:t>0.5-5</w:t>
      </w:r>
      <w:r>
        <w:rPr>
          <w:rFonts w:hint="eastAsia" w:ascii="仿宋_GB2312" w:hAnsi="仿宋_GB2312" w:eastAsia="仿宋_GB2312"/>
          <w:sz w:val="32"/>
          <w:lang w:eastAsia="zh-CN"/>
        </w:rPr>
        <w:t>米；地下光缆两侧各</w:t>
      </w:r>
      <w:r>
        <w:rPr>
          <w:rFonts w:ascii="仿宋_GB2312" w:hAnsi="仿宋_GB2312" w:eastAsia="仿宋_GB2312"/>
          <w:sz w:val="32"/>
          <w:lang w:eastAsia="zh-CN"/>
        </w:rPr>
        <w:t>3</w:t>
      </w:r>
      <w:r>
        <w:rPr>
          <w:rFonts w:hint="eastAsia" w:ascii="仿宋_GB2312" w:hAnsi="仿宋_GB2312" w:eastAsia="仿宋_GB2312"/>
          <w:sz w:val="32"/>
          <w:lang w:eastAsia="zh-CN"/>
        </w:rPr>
        <w:t>米</w:t>
      </w:r>
      <w:r>
        <w:rPr>
          <w:rFonts w:hint="eastAsia" w:ascii="仿宋_GB2312" w:hAnsi="仿宋_GB2312" w:eastAsia="仿宋_GB2312" w:cs="仿宋_GB2312"/>
          <w:sz w:val="32"/>
          <w:lang w:eastAsia="zh-CN"/>
        </w:rPr>
        <w:t>内严禁挖沙取土、开沟修渠、建房植树，两侧各</w:t>
      </w:r>
      <w:r>
        <w:rPr>
          <w:rFonts w:ascii="仿宋_GB2312" w:hAnsi="仿宋_GB2312" w:eastAsia="仿宋_GB2312"/>
          <w:sz w:val="32"/>
          <w:lang w:eastAsia="zh-CN"/>
        </w:rPr>
        <w:t>2</w:t>
      </w:r>
      <w:r>
        <w:rPr>
          <w:rFonts w:hint="eastAsia" w:ascii="仿宋_GB2312" w:hAnsi="仿宋_GB2312" w:eastAsia="仿宋_GB2312"/>
          <w:sz w:val="32"/>
          <w:lang w:eastAsia="zh-CN"/>
        </w:rPr>
        <w:t>米</w:t>
      </w:r>
      <w:r>
        <w:rPr>
          <w:rFonts w:hint="eastAsia" w:ascii="仿宋_GB2312" w:hAnsi="仿宋_GB2312" w:eastAsia="仿宋_GB2312" w:cs="仿宋_GB2312"/>
          <w:sz w:val="32"/>
          <w:lang w:eastAsia="zh-CN"/>
        </w:rPr>
        <w:t>内严禁植树栽竹</w:t>
      </w:r>
      <w:r>
        <w:rPr>
          <w:rFonts w:hint="eastAsia" w:ascii="仿宋_GB2312" w:hAnsi="仿宋_GB2312" w:eastAsia="仿宋_GB2312"/>
          <w:sz w:val="32"/>
          <w:lang w:eastAsia="zh-CN"/>
        </w:rPr>
        <w:t>，</w:t>
      </w:r>
      <w:r>
        <w:rPr>
          <w:rFonts w:ascii="仿宋_GB2312" w:hAnsi="仿宋_GB2312" w:eastAsia="仿宋_GB2312"/>
          <w:sz w:val="32"/>
          <w:lang w:eastAsia="zh-CN"/>
        </w:rPr>
        <w:t>20</w:t>
      </w:r>
      <w:r>
        <w:rPr>
          <w:rFonts w:hint="eastAsia" w:ascii="仿宋_GB2312" w:hAnsi="仿宋_GB2312" w:eastAsia="仿宋_GB2312"/>
          <w:sz w:val="32"/>
          <w:lang w:eastAsia="zh-CN"/>
        </w:rPr>
        <w:t>米</w:t>
      </w:r>
      <w:r>
        <w:rPr>
          <w:rFonts w:hint="eastAsia" w:ascii="仿宋_GB2312" w:hAnsi="仿宋_GB2312" w:eastAsia="仿宋_GB2312" w:cs="仿宋_GB2312"/>
          <w:sz w:val="32"/>
          <w:lang w:eastAsia="zh-CN"/>
        </w:rPr>
        <w:t>内禁止爆破，</w:t>
      </w:r>
      <w:r>
        <w:rPr>
          <w:rFonts w:ascii="仿宋_GB2312" w:hAnsi="仿宋_GB2312" w:eastAsia="仿宋_GB2312"/>
          <w:sz w:val="32"/>
          <w:lang w:eastAsia="zh-CN"/>
        </w:rPr>
        <w:t>50</w:t>
      </w:r>
      <w:r>
        <w:rPr>
          <w:rFonts w:hint="eastAsia" w:ascii="仿宋_GB2312" w:hAnsi="仿宋_GB2312" w:eastAsia="仿宋_GB2312"/>
          <w:sz w:val="32"/>
          <w:lang w:eastAsia="zh-CN"/>
        </w:rPr>
        <w:t>米</w:t>
      </w:r>
      <w:r>
        <w:rPr>
          <w:rFonts w:hint="eastAsia" w:ascii="仿宋_GB2312" w:hAnsi="仿宋_GB2312" w:eastAsia="仿宋_GB2312" w:cs="仿宋_GB2312"/>
          <w:sz w:val="32"/>
          <w:lang w:eastAsia="zh-CN"/>
        </w:rPr>
        <w:t>内进行大型测量或施工需提前协商，架空光缆下方</w:t>
      </w:r>
      <w:r>
        <w:rPr>
          <w:rFonts w:ascii="仿宋_GB2312" w:hAnsi="仿宋_GB2312" w:eastAsia="仿宋_GB2312"/>
          <w:sz w:val="32"/>
          <w:lang w:eastAsia="zh-CN"/>
        </w:rPr>
        <w:t>5</w:t>
      </w:r>
      <w:r>
        <w:rPr>
          <w:rFonts w:hint="eastAsia" w:ascii="仿宋_GB2312" w:hAnsi="仿宋_GB2312" w:eastAsia="仿宋_GB2312"/>
          <w:sz w:val="32"/>
          <w:lang w:eastAsia="zh-CN"/>
        </w:rPr>
        <w:t>米</w:t>
      </w:r>
      <w:r>
        <w:rPr>
          <w:rFonts w:hint="eastAsia" w:ascii="仿宋_GB2312" w:hAnsi="仿宋_GB2312" w:eastAsia="仿宋_GB2312" w:cs="仿宋_GB2312"/>
          <w:sz w:val="32"/>
          <w:lang w:eastAsia="zh-CN"/>
        </w:rPr>
        <w:t>内严禁堆放易燃物</w:t>
      </w:r>
      <w:r>
        <w:rPr>
          <w:rFonts w:hint="eastAsia" w:ascii="仿宋_GB2312" w:hAnsi="仿宋_GB2312" w:eastAsia="仿宋_GB2312"/>
          <w:sz w:val="32"/>
          <w:lang w:eastAsia="zh-CN"/>
        </w:rPr>
        <w:t>。其他相关管控规则应按照国家及地方有关规定执行。</w:t>
      </w:r>
      <w:r>
        <w:rPr>
          <w:rStyle w:val="143"/>
          <w:rFonts w:hint="eastAsia" w:ascii="黑体" w:hAnsi="黑体" w:eastAsia="黑体" w:cs="黑体"/>
          <w:b w:val="0"/>
          <w:bCs w:val="0"/>
          <w:color w:val="auto"/>
          <w:sz w:val="32"/>
          <w:szCs w:val="32"/>
          <w:lang w:eastAsia="zh-CN"/>
        </w:rPr>
        <w:br w:type="page"/>
      </w:r>
    </w:p>
    <w:p w14:paraId="2EBBCFC5">
      <w:pPr>
        <w:pStyle w:val="3"/>
        <w:jc w:val="center"/>
        <w:rPr>
          <w:color w:val="auto"/>
          <w:lang w:eastAsia="zh-CN"/>
        </w:rPr>
      </w:pPr>
      <w:bookmarkStart w:id="7" w:name="_Toc239953172"/>
      <w:r>
        <w:rPr>
          <w:rStyle w:val="143"/>
          <w:rFonts w:hint="eastAsia" w:ascii="黑体" w:hAnsi="黑体" w:eastAsia="黑体" w:cs="黑体"/>
          <w:b/>
          <w:bCs/>
          <w:color w:val="auto"/>
          <w:sz w:val="32"/>
          <w:szCs w:val="32"/>
          <w:lang w:eastAsia="zh-CN"/>
        </w:rPr>
        <w:t>第四章  建设管控</w:t>
      </w:r>
      <w:bookmarkEnd w:id="7"/>
    </w:p>
    <w:p w14:paraId="761E74BB">
      <w:pPr>
        <w:pStyle w:val="4"/>
        <w:jc w:val="center"/>
        <w:rPr>
          <w:color w:val="auto"/>
          <w:lang w:eastAsia="zh-CN"/>
        </w:rPr>
      </w:pPr>
      <w:bookmarkStart w:id="8" w:name="_Toc239953173"/>
      <w:r>
        <w:rPr>
          <w:rStyle w:val="144"/>
          <w:rFonts w:hint="eastAsia" w:ascii="楷体" w:hAnsi="楷体" w:eastAsia="楷体" w:cs="楷体"/>
          <w:b/>
          <w:bCs/>
          <w:color w:val="auto"/>
          <w:sz w:val="32"/>
          <w:szCs w:val="32"/>
          <w:lang w:eastAsia="zh-CN"/>
        </w:rPr>
        <w:t>第一节  村庄建设边界管控</w:t>
      </w:r>
      <w:bookmarkEnd w:id="8"/>
    </w:p>
    <w:p w14:paraId="097124AB">
      <w:pPr>
        <w:pStyle w:val="5"/>
        <w:rPr>
          <w:color w:val="auto"/>
        </w:rPr>
      </w:pPr>
      <w:r>
        <w:rPr>
          <w:rFonts w:hint="eastAsia"/>
          <w:color w:val="auto"/>
        </w:rPr>
        <w:t>村庄建设边界划定基础</w:t>
      </w:r>
    </w:p>
    <w:p w14:paraId="54987BFA">
      <w:pPr>
        <w:autoSpaceDE w:val="0"/>
        <w:autoSpaceDN w:val="0"/>
        <w:spacing w:after="0" w:line="576" w:lineRule="exact"/>
        <w:ind w:left="146" w:right="178" w:firstLine="642"/>
        <w:jc w:val="both"/>
        <w:rPr>
          <w:rFonts w:ascii="仿宋_GB2312" w:hAnsi="仿宋" w:eastAsia="仿宋_GB2312"/>
          <w:lang w:eastAsia="zh-CN"/>
        </w:rPr>
      </w:pPr>
      <w:r>
        <w:rPr>
          <w:rFonts w:hint="eastAsia" w:ascii="仿宋_GB2312" w:hAnsi="仿宋" w:eastAsia="仿宋_GB2312"/>
          <w:sz w:val="32"/>
          <w:lang w:eastAsia="zh-CN"/>
        </w:rPr>
        <w:t>根据梁子湖区“203”图斑数据，梁子湖区村庄建设边界划定基数为</w:t>
      </w:r>
      <w:r>
        <w:rPr>
          <w:rFonts w:ascii="仿宋_GB2312" w:hAnsi="仿宋" w:eastAsia="仿宋_GB2312"/>
          <w:sz w:val="32"/>
          <w:lang w:eastAsia="zh-CN"/>
        </w:rPr>
        <w:t>3308</w:t>
      </w:r>
      <w:r>
        <w:rPr>
          <w:rFonts w:hint="eastAsia" w:ascii="仿宋_GB2312" w:hAnsi="仿宋" w:eastAsia="仿宋_GB2312"/>
          <w:sz w:val="32"/>
          <w:lang w:eastAsia="zh-CN"/>
        </w:rPr>
        <w:t>.</w:t>
      </w:r>
      <w:r>
        <w:rPr>
          <w:rFonts w:ascii="仿宋_GB2312" w:hAnsi="仿宋" w:eastAsia="仿宋_GB2312"/>
          <w:sz w:val="32"/>
          <w:lang w:eastAsia="zh-CN"/>
        </w:rPr>
        <w:t>32</w:t>
      </w:r>
      <w:r>
        <w:rPr>
          <w:rFonts w:hint="eastAsia" w:ascii="仿宋_GB2312" w:hAnsi="仿宋" w:eastAsia="仿宋_GB2312"/>
          <w:sz w:val="32"/>
          <w:lang w:eastAsia="zh-CN"/>
        </w:rPr>
        <w:t>公顷，规划村庄建设边界</w:t>
      </w:r>
      <w:r>
        <w:rPr>
          <w:rFonts w:ascii="仿宋_GB2312" w:hAnsi="仿宋" w:eastAsia="仿宋_GB2312"/>
          <w:sz w:val="32"/>
          <w:lang w:eastAsia="zh-CN"/>
        </w:rPr>
        <w:t>2647</w:t>
      </w:r>
      <w:r>
        <w:rPr>
          <w:rFonts w:hint="eastAsia" w:ascii="仿宋_GB2312" w:hAnsi="仿宋" w:eastAsia="仿宋_GB2312"/>
          <w:sz w:val="32"/>
          <w:lang w:eastAsia="zh-CN"/>
        </w:rPr>
        <w:t>.</w:t>
      </w:r>
      <w:r>
        <w:rPr>
          <w:rFonts w:ascii="仿宋_GB2312" w:hAnsi="仿宋" w:eastAsia="仿宋_GB2312"/>
          <w:sz w:val="32"/>
          <w:lang w:eastAsia="zh-CN"/>
        </w:rPr>
        <w:t>9</w:t>
      </w:r>
      <w:r>
        <w:rPr>
          <w:rFonts w:hint="eastAsia" w:ascii="仿宋_GB2312" w:hAnsi="仿宋" w:eastAsia="仿宋_GB2312"/>
          <w:sz w:val="32"/>
          <w:lang w:eastAsia="zh-CN"/>
        </w:rPr>
        <w:t>1公顷，预留规划“留白”机动指标361.62公顷。</w:t>
      </w:r>
    </w:p>
    <w:p w14:paraId="78D90713">
      <w:pPr>
        <w:pStyle w:val="5"/>
        <w:rPr>
          <w:color w:val="auto"/>
        </w:rPr>
      </w:pPr>
      <w:r>
        <w:rPr>
          <w:color w:val="auto"/>
        </w:rPr>
        <w:t>加强村庄建设边界内的建设用地管控</w:t>
      </w:r>
    </w:p>
    <w:p w14:paraId="38F15B44">
      <w:pPr>
        <w:autoSpaceDE w:val="0"/>
        <w:autoSpaceDN w:val="0"/>
        <w:spacing w:after="0" w:line="576" w:lineRule="exact"/>
        <w:ind w:left="146" w:right="178" w:firstLine="642"/>
        <w:jc w:val="both"/>
        <w:rPr>
          <w:rFonts w:ascii="仿宋_GB2312" w:hAnsi="仿宋" w:eastAsia="仿宋_GB2312"/>
          <w:lang w:eastAsia="zh-CN"/>
        </w:rPr>
      </w:pPr>
      <w:r>
        <w:rPr>
          <w:rFonts w:hint="eastAsia" w:ascii="仿宋_GB2312" w:hAnsi="仿宋" w:eastAsia="仿宋_GB2312"/>
          <w:sz w:val="32"/>
          <w:lang w:eastAsia="zh-CN"/>
        </w:rPr>
        <w:t>引导乡村建设向村庄建设边界内集中。村民住宅、乡村公共服务设施、乡村基础设施、乡村应急设施、乡村产业等建设项目宜在村庄建设边界内进行选址。新增村庄建设项目应与农村土地综合整治相结合，充分利用原有闲置宅基地（村内空闲地或其他未利用地），不占或少占耕地。</w:t>
      </w:r>
    </w:p>
    <w:p w14:paraId="1E4700D1">
      <w:pPr>
        <w:pStyle w:val="5"/>
        <w:rPr>
          <w:rFonts w:eastAsia="宋体"/>
          <w:color w:val="auto"/>
        </w:rPr>
      </w:pPr>
      <w:r>
        <w:rPr>
          <w:color w:val="auto"/>
        </w:rPr>
        <w:t>“留白”机动指标</w:t>
      </w:r>
    </w:p>
    <w:p w14:paraId="6873844C">
      <w:pPr>
        <w:autoSpaceDE w:val="0"/>
        <w:autoSpaceDN w:val="0"/>
        <w:spacing w:after="0" w:line="576" w:lineRule="exact"/>
        <w:ind w:left="146" w:right="178" w:firstLine="642"/>
        <w:jc w:val="both"/>
        <w:rPr>
          <w:rFonts w:ascii="仿宋_GB2312" w:hAnsi="仿宋_GB2312" w:eastAsia="仿宋_GB2312"/>
          <w:sz w:val="32"/>
          <w:lang w:eastAsia="zh-CN"/>
        </w:rPr>
      </w:pPr>
      <w:r>
        <w:rPr>
          <w:rFonts w:hint="eastAsia" w:ascii="仿宋_GB2312" w:hAnsi="仿宋_GB2312" w:eastAsia="仿宋_GB2312"/>
          <w:sz w:val="32"/>
          <w:lang w:eastAsia="zh-CN"/>
        </w:rPr>
        <w:t>乡村建设行为原则上应在村庄建设边界内开展，对空间区位有特殊要求的乡村公共服务设施（如农村公益性公墓等）、基础设施（如垃圾转运处理设施、厕所粪污集中处理相关设施等）及确需零星分散的村民居住等，在符合耕地保护、生态保护红线等政策要求的基础上，可使用规划“留白”机动指标予以保障。</w:t>
      </w:r>
    </w:p>
    <w:p w14:paraId="0C8D3952">
      <w:pPr>
        <w:autoSpaceDE w:val="0"/>
        <w:autoSpaceDN w:val="0"/>
        <w:spacing w:after="0" w:line="576" w:lineRule="exact"/>
        <w:ind w:left="146" w:right="178" w:firstLine="642"/>
        <w:jc w:val="both"/>
        <w:rPr>
          <w:rFonts w:ascii="仿宋_GB2312" w:hAnsi="仿宋_GB2312" w:eastAsia="仿宋_GB2312"/>
          <w:sz w:val="32"/>
          <w:lang w:eastAsia="zh-CN"/>
        </w:rPr>
      </w:pPr>
      <w:r>
        <w:rPr>
          <w:rFonts w:hint="eastAsia" w:ascii="仿宋_GB2312" w:hAnsi="仿宋_GB2312" w:eastAsia="仿宋_GB2312"/>
          <w:sz w:val="32"/>
          <w:lang w:eastAsia="zh-CN"/>
        </w:rPr>
        <w:t>规划“留白”机动指标应在不突破“留白”机动指标规模和符合“留白”机动指标正面清单前提下，由镇人民政府申请，经区自然资源和规划部门审查，报请区人民政府同意后使用并纳入台账管理。</w:t>
      </w:r>
    </w:p>
    <w:p w14:paraId="67317668">
      <w:pPr>
        <w:pStyle w:val="4"/>
        <w:jc w:val="center"/>
        <w:rPr>
          <w:color w:val="auto"/>
          <w:lang w:eastAsia="zh-CN"/>
        </w:rPr>
      </w:pPr>
      <w:bookmarkStart w:id="9" w:name="_Toc239953174"/>
      <w:r>
        <w:rPr>
          <w:rStyle w:val="144"/>
          <w:rFonts w:hint="eastAsia" w:ascii="楷体" w:hAnsi="楷体" w:eastAsia="楷体" w:cs="楷体"/>
          <w:b/>
          <w:bCs/>
          <w:color w:val="auto"/>
          <w:sz w:val="32"/>
          <w:szCs w:val="32"/>
          <w:lang w:eastAsia="zh-CN"/>
        </w:rPr>
        <w:t>第二节  村庄建设管控</w:t>
      </w:r>
      <w:bookmarkEnd w:id="9"/>
    </w:p>
    <w:p w14:paraId="6F986F8F">
      <w:pPr>
        <w:pStyle w:val="5"/>
        <w:rPr>
          <w:color w:val="auto"/>
        </w:rPr>
      </w:pPr>
      <w:r>
        <w:rPr>
          <w:color w:val="auto"/>
        </w:rPr>
        <w:t>村庄建设管控通用要求</w:t>
      </w:r>
      <w:r>
        <w:rPr>
          <w:rFonts w:hint="eastAsia"/>
          <w:color w:val="auto"/>
        </w:rPr>
        <w:t>指引</w:t>
      </w:r>
    </w:p>
    <w:p w14:paraId="45FCC3D9">
      <w:pPr>
        <w:autoSpaceDE w:val="0"/>
        <w:autoSpaceDN w:val="0"/>
        <w:spacing w:after="0" w:line="576" w:lineRule="exact"/>
        <w:ind w:left="146" w:right="178" w:firstLine="642"/>
        <w:jc w:val="both"/>
        <w:rPr>
          <w:rFonts w:ascii="仿宋_GB2312" w:hAnsi="仿宋" w:eastAsia="仿宋_GB2312"/>
          <w:lang w:eastAsia="zh-CN"/>
        </w:rPr>
      </w:pPr>
      <w:r>
        <w:rPr>
          <w:rFonts w:hint="eastAsia" w:ascii="仿宋_GB2312" w:hAnsi="仿宋" w:eastAsia="仿宋_GB2312"/>
          <w:sz w:val="32"/>
          <w:lang w:eastAsia="zh-CN"/>
        </w:rPr>
        <w:t>村庄建设项目应避让永久基本农田保护红线、生态保护红线、地质灾害风险控制线、洪涝风险控制线、饮用水水源保护区、地震断裂带等敏感区域，并满足高压线、燃气管线等市政设施及易燃易爆、危险品设施的安全防护距离要求。临近污染工业区、畜禽养殖场等污染源时，应选址于常年主导风向上风向及污染源上游位置，并符合相关规划与法律法规要求。</w:t>
      </w:r>
    </w:p>
    <w:p w14:paraId="0CF24243">
      <w:pPr>
        <w:pStyle w:val="5"/>
        <w:rPr>
          <w:rFonts w:eastAsia="宋体"/>
          <w:color w:val="auto"/>
        </w:rPr>
      </w:pPr>
      <w:bookmarkStart w:id="10" w:name="_Hlk235194435"/>
      <w:r>
        <w:rPr>
          <w:color w:val="auto"/>
        </w:rPr>
        <w:t>农民建房管控</w:t>
      </w:r>
      <w:r>
        <w:rPr>
          <w:rFonts w:hint="eastAsia"/>
          <w:color w:val="auto"/>
        </w:rPr>
        <w:t>指引</w:t>
      </w:r>
      <w:bookmarkEnd w:id="10"/>
    </w:p>
    <w:p w14:paraId="44E4C36E">
      <w:pPr>
        <w:autoSpaceDE w:val="0"/>
        <w:autoSpaceDN w:val="0"/>
        <w:spacing w:after="0" w:line="576" w:lineRule="exact"/>
        <w:ind w:left="146" w:right="178" w:firstLine="642"/>
        <w:jc w:val="both"/>
        <w:rPr>
          <w:rFonts w:ascii="仿宋_GB2312" w:hAnsi="仿宋" w:eastAsia="仿宋_GB2312"/>
          <w:lang w:eastAsia="zh-CN"/>
        </w:rPr>
      </w:pPr>
      <w:r>
        <w:rPr>
          <w:rFonts w:hint="eastAsia" w:ascii="仿宋_GB2312" w:hAnsi="仿宋" w:eastAsia="仿宋_GB2312"/>
          <w:sz w:val="32"/>
          <w:lang w:eastAsia="zh-CN"/>
        </w:rPr>
        <w:t>村民建房应严格落实“一户一宅”规定，鼓励充分利用原有宅基地。农村村民新建、改建住房（含附属用房）使用集体农用地的，每户用地面积不得超过一百四十平方米；使用集体未利用土地、存量集体建设用地的，每户用地面积不得超过二百平方米。新建农房应符合保护耕地和节约集约用地要求，注重与周边水系、山林、农田等自然环境的协调融合。</w:t>
      </w:r>
    </w:p>
    <w:p w14:paraId="172A2A8E">
      <w:pPr>
        <w:pStyle w:val="5"/>
        <w:rPr>
          <w:color w:val="auto"/>
        </w:rPr>
      </w:pPr>
      <w:r>
        <w:rPr>
          <w:rFonts w:hint="eastAsia"/>
          <w:color w:val="auto"/>
        </w:rPr>
        <w:t>公共服务设施管控指引</w:t>
      </w:r>
    </w:p>
    <w:p w14:paraId="0D14167D">
      <w:pPr>
        <w:autoSpaceDE w:val="0"/>
        <w:autoSpaceDN w:val="0"/>
        <w:spacing w:after="0" w:line="576" w:lineRule="exact"/>
        <w:ind w:left="146" w:right="178" w:firstLine="640" w:firstLineChars="200"/>
        <w:jc w:val="both"/>
        <w:rPr>
          <w:rFonts w:ascii="仿宋_GB2312" w:hAnsi="仿宋_GB2312" w:eastAsia="仿宋_GB2312"/>
          <w:sz w:val="32"/>
          <w:lang w:eastAsia="zh-CN"/>
        </w:rPr>
      </w:pPr>
      <w:r>
        <w:rPr>
          <w:rFonts w:ascii="仿宋_GB2312" w:hAnsi="仿宋_GB2312" w:eastAsia="仿宋_GB2312"/>
          <w:sz w:val="32"/>
          <w:lang w:eastAsia="zh-CN"/>
        </w:rPr>
        <w:t>（一）村委会。应符合</w:t>
      </w:r>
      <w:bookmarkStart w:id="11" w:name="_Hlk235651002"/>
      <w:r>
        <w:rPr>
          <w:rFonts w:ascii="仿宋_GB2312" w:hAnsi="仿宋_GB2312" w:eastAsia="仿宋_GB2312"/>
          <w:sz w:val="32"/>
          <w:lang w:eastAsia="zh-CN"/>
        </w:rPr>
        <w:t>《村级公共服务中心建设与管理规范》（GB/T 38699-2020）《城乡社区生活圈规划指南（征求意见稿）》</w:t>
      </w:r>
      <w:bookmarkEnd w:id="11"/>
      <w:r>
        <w:rPr>
          <w:rFonts w:ascii="仿宋_GB2312" w:hAnsi="仿宋_GB2312" w:eastAsia="仿宋_GB2312"/>
          <w:sz w:val="32"/>
          <w:lang w:eastAsia="zh-CN"/>
        </w:rPr>
        <w:t>等相关要求和建设标准。</w:t>
      </w:r>
    </w:p>
    <w:p w14:paraId="56AF8383">
      <w:pPr>
        <w:autoSpaceDE w:val="0"/>
        <w:autoSpaceDN w:val="0"/>
        <w:spacing w:after="0" w:line="576" w:lineRule="exact"/>
        <w:ind w:left="146" w:right="178" w:firstLine="640" w:firstLineChars="200"/>
        <w:jc w:val="both"/>
        <w:rPr>
          <w:rFonts w:ascii="仿宋_GB2312" w:hAnsi="仿宋" w:eastAsia="仿宋_GB2312"/>
          <w:b/>
          <w:bCs/>
          <w:sz w:val="32"/>
          <w:lang w:eastAsia="zh-CN"/>
        </w:rPr>
      </w:pPr>
      <w:r>
        <w:rPr>
          <w:rFonts w:hint="eastAsia" w:ascii="仿宋_GB2312" w:hAnsi="仿宋" w:eastAsia="仿宋_GB2312"/>
          <w:sz w:val="32"/>
          <w:lang w:eastAsia="zh-CN"/>
        </w:rPr>
        <w:t>（二）村文化活动设施。应符合</w:t>
      </w:r>
      <w:bookmarkStart w:id="12" w:name="_Hlk235651097"/>
      <w:r>
        <w:rPr>
          <w:rFonts w:hint="eastAsia" w:ascii="仿宋_GB2312" w:hAnsi="仿宋" w:eastAsia="仿宋_GB2312"/>
          <w:sz w:val="32"/>
          <w:lang w:eastAsia="zh-CN"/>
        </w:rPr>
        <w:t>《农村文化活动中心建设与服务规范》（GB/T 41375-2022）</w:t>
      </w:r>
      <w:bookmarkEnd w:id="12"/>
      <w:r>
        <w:rPr>
          <w:rFonts w:hint="eastAsia" w:ascii="仿宋_GB2312" w:hAnsi="仿宋" w:eastAsia="仿宋_GB2312"/>
          <w:sz w:val="32"/>
          <w:lang w:eastAsia="zh-CN"/>
        </w:rPr>
        <w:t>《城乡社区生活圈规划指南（征求意见稿）》等相关要求和建设标准。</w:t>
      </w:r>
    </w:p>
    <w:p w14:paraId="26552B15">
      <w:pPr>
        <w:autoSpaceDE w:val="0"/>
        <w:autoSpaceDN w:val="0"/>
        <w:spacing w:after="0" w:line="576" w:lineRule="exact"/>
        <w:ind w:left="146" w:right="178" w:firstLine="640" w:firstLineChars="200"/>
        <w:jc w:val="both"/>
        <w:rPr>
          <w:rFonts w:ascii="仿宋_GB2312" w:hAnsi="仿宋" w:eastAsia="仿宋_GB2312"/>
          <w:lang w:eastAsia="zh-CN"/>
        </w:rPr>
      </w:pPr>
      <w:r>
        <w:rPr>
          <w:rFonts w:hint="eastAsia" w:ascii="仿宋_GB2312" w:hAnsi="仿宋" w:eastAsia="仿宋_GB2312"/>
          <w:sz w:val="32"/>
          <w:lang w:eastAsia="zh-CN"/>
        </w:rPr>
        <w:t>（三）小学。应符合</w:t>
      </w:r>
      <w:bookmarkStart w:id="13" w:name="_Hlk235651153"/>
      <w:r>
        <w:rPr>
          <w:rFonts w:hint="eastAsia" w:ascii="仿宋_GB2312" w:hAnsi="仿宋" w:eastAsia="仿宋_GB2312"/>
          <w:sz w:val="32"/>
          <w:lang w:eastAsia="zh-CN"/>
        </w:rPr>
        <w:t>《中小学校设计规范》（GB 50099-2011）</w:t>
      </w:r>
      <w:bookmarkEnd w:id="13"/>
      <w:r>
        <w:rPr>
          <w:rFonts w:hint="eastAsia" w:ascii="仿宋_GB2312" w:hAnsi="仿宋" w:eastAsia="仿宋_GB2312"/>
          <w:sz w:val="32"/>
          <w:lang w:eastAsia="zh-CN"/>
        </w:rPr>
        <w:t>《农村普通中小学校建设标准》（建标109-2008）</w:t>
      </w:r>
      <w:bookmarkStart w:id="14" w:name="_Hlk235651166"/>
      <w:r>
        <w:rPr>
          <w:rFonts w:hint="eastAsia" w:ascii="仿宋_GB2312" w:hAnsi="仿宋" w:eastAsia="仿宋_GB2312"/>
          <w:sz w:val="32"/>
          <w:lang w:eastAsia="zh-CN"/>
        </w:rPr>
        <w:t>《湖北省义务教育学校办学基本标准（试行）》（鄂教规〔2022〕3号）</w:t>
      </w:r>
      <w:bookmarkEnd w:id="14"/>
      <w:r>
        <w:rPr>
          <w:rFonts w:hint="eastAsia" w:ascii="仿宋_GB2312" w:hAnsi="仿宋" w:eastAsia="仿宋_GB2312"/>
          <w:sz w:val="32"/>
          <w:lang w:eastAsia="zh-CN"/>
        </w:rPr>
        <w:t>等相关要求和建设标准。</w:t>
      </w:r>
    </w:p>
    <w:p w14:paraId="2C628D16">
      <w:pPr>
        <w:tabs>
          <w:tab w:val="left" w:pos="788"/>
        </w:tabs>
        <w:autoSpaceDE w:val="0"/>
        <w:autoSpaceDN w:val="0"/>
        <w:spacing w:after="0" w:line="576" w:lineRule="exact"/>
        <w:ind w:right="144" w:firstLine="640" w:firstLineChars="200"/>
        <w:jc w:val="both"/>
        <w:rPr>
          <w:rFonts w:ascii="仿宋_GB2312" w:hAnsi="仿宋" w:eastAsia="仿宋_GB2312"/>
          <w:b/>
          <w:bCs/>
          <w:sz w:val="32"/>
          <w:lang w:eastAsia="zh-CN"/>
        </w:rPr>
      </w:pPr>
      <w:r>
        <w:rPr>
          <w:rFonts w:hint="eastAsia" w:ascii="仿宋_GB2312" w:hAnsi="仿宋" w:eastAsia="仿宋_GB2312"/>
          <w:sz w:val="32"/>
          <w:lang w:eastAsia="zh-CN"/>
        </w:rPr>
        <w:t>（四）幼儿园、托儿所。应符合《托儿所、幼儿园建筑设计规范（JGJ39-2016）》（2019年版）</w:t>
      </w:r>
      <w:bookmarkStart w:id="15" w:name="_Hlk235651208"/>
      <w:r>
        <w:rPr>
          <w:rFonts w:hint="eastAsia" w:ascii="仿宋_GB2312" w:hAnsi="仿宋" w:eastAsia="仿宋_GB2312"/>
          <w:sz w:val="32"/>
          <w:lang w:eastAsia="zh-CN"/>
        </w:rPr>
        <w:t>《幼儿园建设标准》（建标175-2016）</w:t>
      </w:r>
      <w:bookmarkEnd w:id="15"/>
      <w:r>
        <w:rPr>
          <w:rFonts w:hint="eastAsia" w:ascii="仿宋_GB2312" w:hAnsi="仿宋" w:eastAsia="仿宋_GB2312"/>
          <w:sz w:val="32"/>
          <w:lang w:eastAsia="zh-CN"/>
        </w:rPr>
        <w:t>等相关要求和建设标准。</w:t>
      </w:r>
    </w:p>
    <w:p w14:paraId="5BCB5145">
      <w:pPr>
        <w:tabs>
          <w:tab w:val="left" w:pos="788"/>
        </w:tabs>
        <w:autoSpaceDE w:val="0"/>
        <w:autoSpaceDN w:val="0"/>
        <w:spacing w:after="0" w:line="576" w:lineRule="exact"/>
        <w:ind w:right="144" w:firstLine="640" w:firstLineChars="200"/>
        <w:jc w:val="both"/>
        <w:rPr>
          <w:rFonts w:ascii="仿宋_GB2312" w:hAnsi="仿宋" w:eastAsia="仿宋_GB2312"/>
          <w:b/>
          <w:bCs/>
          <w:sz w:val="32"/>
          <w:lang w:eastAsia="zh-CN"/>
        </w:rPr>
      </w:pPr>
      <w:r>
        <w:rPr>
          <w:rFonts w:hint="eastAsia" w:ascii="仿宋_GB2312" w:hAnsi="仿宋" w:eastAsia="仿宋_GB2312"/>
          <w:sz w:val="32"/>
          <w:lang w:eastAsia="zh-CN"/>
        </w:rPr>
        <w:t>（五）卫生院、卫生服务站。应符合</w:t>
      </w:r>
      <w:bookmarkStart w:id="16" w:name="_Hlk235651234"/>
      <w:r>
        <w:rPr>
          <w:rFonts w:hint="eastAsia" w:ascii="仿宋_GB2312" w:hAnsi="仿宋" w:eastAsia="仿宋_GB2312"/>
          <w:sz w:val="32"/>
          <w:lang w:eastAsia="zh-CN"/>
        </w:rPr>
        <w:t>《乡镇卫生院建设标准》（建标107-2008）《重点中心乡镇卫生院建设参考标准》（国卫办基层函〔2024〕269号）《社区卫生服务中心、站建设标准》（建标 163-2013）</w:t>
      </w:r>
      <w:bookmarkEnd w:id="16"/>
      <w:r>
        <w:rPr>
          <w:rFonts w:hint="eastAsia" w:ascii="仿宋_GB2312" w:hAnsi="仿宋" w:eastAsia="仿宋_GB2312"/>
          <w:sz w:val="32"/>
          <w:lang w:eastAsia="zh-CN"/>
        </w:rPr>
        <w:t>等相关要求和建设标准。</w:t>
      </w:r>
    </w:p>
    <w:p w14:paraId="21F99A76">
      <w:pPr>
        <w:autoSpaceDE w:val="0"/>
        <w:autoSpaceDN w:val="0"/>
        <w:spacing w:after="0" w:line="576" w:lineRule="exact"/>
        <w:ind w:left="146" w:right="178" w:firstLine="640" w:firstLineChars="200"/>
        <w:jc w:val="both"/>
        <w:rPr>
          <w:rFonts w:ascii="仿宋_GB2312" w:hAnsi="仿宋" w:eastAsia="仿宋_GB2312"/>
          <w:lang w:eastAsia="zh-CN"/>
        </w:rPr>
      </w:pPr>
      <w:r>
        <w:rPr>
          <w:rFonts w:hint="eastAsia" w:ascii="仿宋_GB2312" w:hAnsi="仿宋" w:eastAsia="仿宋_GB2312"/>
          <w:sz w:val="32"/>
          <w:lang w:eastAsia="zh-CN"/>
        </w:rPr>
        <w:t>（六）养老院、居家养老服务中心。应符合《城乡社区生活圈规划指南（征求意见稿）》</w:t>
      </w:r>
      <w:bookmarkStart w:id="17" w:name="_Hlk235651250"/>
      <w:r>
        <w:rPr>
          <w:rFonts w:hint="eastAsia" w:ascii="仿宋_GB2312" w:hAnsi="仿宋" w:eastAsia="仿宋_GB2312"/>
          <w:sz w:val="32"/>
          <w:lang w:eastAsia="zh-CN"/>
        </w:rPr>
        <w:t>《社区老年人日间照料中心建设标准》（建标143-2010）</w:t>
      </w:r>
      <w:bookmarkEnd w:id="17"/>
      <w:r>
        <w:rPr>
          <w:rFonts w:hint="eastAsia" w:ascii="仿宋_GB2312" w:hAnsi="仿宋" w:eastAsia="仿宋_GB2312"/>
          <w:sz w:val="32"/>
          <w:lang w:eastAsia="zh-CN"/>
        </w:rPr>
        <w:t>等相关要求和建设标准，结合当地养老需求设置。</w:t>
      </w:r>
    </w:p>
    <w:p w14:paraId="7FA764E6">
      <w:pPr>
        <w:autoSpaceDE w:val="0"/>
        <w:autoSpaceDN w:val="0"/>
        <w:spacing w:after="0" w:line="576" w:lineRule="exact"/>
        <w:ind w:left="146" w:right="178" w:firstLine="640" w:firstLineChars="200"/>
        <w:jc w:val="both"/>
        <w:rPr>
          <w:rFonts w:ascii="仿宋_GB2312" w:hAnsi="仿宋_GB2312" w:eastAsia="仿宋_GB2312"/>
          <w:sz w:val="32"/>
          <w:lang w:eastAsia="zh-CN"/>
        </w:rPr>
      </w:pPr>
      <w:r>
        <w:rPr>
          <w:rFonts w:ascii="仿宋_GB2312" w:hAnsi="仿宋_GB2312" w:eastAsia="仿宋_GB2312"/>
          <w:sz w:val="32"/>
          <w:lang w:eastAsia="zh-CN"/>
        </w:rPr>
        <w:t>（七）村级供销社、农村商店。可采用配建方式建设，农村商店宜兼有村邮站功能。</w:t>
      </w:r>
    </w:p>
    <w:p w14:paraId="53D6C90F">
      <w:pPr>
        <w:autoSpaceDE w:val="0"/>
        <w:autoSpaceDN w:val="0"/>
        <w:spacing w:after="0" w:line="576" w:lineRule="exact"/>
        <w:ind w:left="146" w:right="178" w:firstLine="640" w:firstLineChars="200"/>
        <w:jc w:val="both"/>
        <w:rPr>
          <w:rFonts w:ascii="仿宋_GB2312" w:hAnsi="仿宋" w:eastAsia="仿宋_GB2312"/>
          <w:lang w:eastAsia="zh-CN"/>
        </w:rPr>
      </w:pPr>
      <w:r>
        <w:rPr>
          <w:rFonts w:hint="eastAsia" w:ascii="仿宋_GB2312" w:hAnsi="仿宋" w:eastAsia="仿宋_GB2312"/>
          <w:sz w:val="32"/>
          <w:lang w:eastAsia="zh-CN"/>
        </w:rPr>
        <w:t>（八）村级兽医站、农机站。宜采用配建方式建设。</w:t>
      </w:r>
    </w:p>
    <w:p w14:paraId="001CF684">
      <w:pPr>
        <w:pStyle w:val="5"/>
        <w:rPr>
          <w:color w:val="auto"/>
        </w:rPr>
      </w:pPr>
      <w:r>
        <w:rPr>
          <w:color w:val="auto"/>
        </w:rPr>
        <w:t>交通基础设施管控</w:t>
      </w:r>
      <w:r>
        <w:rPr>
          <w:rFonts w:hint="eastAsia"/>
          <w:color w:val="auto"/>
        </w:rPr>
        <w:t>指引</w:t>
      </w:r>
    </w:p>
    <w:p w14:paraId="7229D3BB">
      <w:pPr>
        <w:ind w:firstLine="640" w:firstLineChars="200"/>
        <w:rPr>
          <w:rFonts w:ascii="仿宋_GB2312" w:hAnsi="仿宋" w:eastAsia="仿宋_GB2312"/>
          <w:lang w:eastAsia="zh-CN"/>
        </w:rPr>
      </w:pPr>
      <w:r>
        <w:rPr>
          <w:rFonts w:hint="eastAsia" w:ascii="仿宋_GB2312" w:hAnsi="仿宋" w:eastAsia="仿宋_GB2312"/>
          <w:sz w:val="32"/>
          <w:lang w:eastAsia="zh-CN"/>
        </w:rPr>
        <w:t>（一）农村道路</w:t>
      </w:r>
    </w:p>
    <w:p w14:paraId="49ACAC76">
      <w:pPr>
        <w:spacing w:after="0"/>
        <w:ind w:firstLine="800" w:firstLineChars="250"/>
        <w:rPr>
          <w:rFonts w:ascii="仿宋_GB2312" w:hAnsi="仿宋" w:eastAsia="仿宋_GB2312"/>
          <w:lang w:eastAsia="zh-CN"/>
        </w:rPr>
      </w:pPr>
      <w:r>
        <w:rPr>
          <w:rFonts w:hint="eastAsia" w:ascii="仿宋_GB2312" w:hAnsi="仿宋" w:eastAsia="仿宋_GB2312"/>
          <w:sz w:val="32"/>
          <w:lang w:eastAsia="zh-CN"/>
        </w:rPr>
        <w:t>1.选线要求</w:t>
      </w:r>
    </w:p>
    <w:p w14:paraId="006118F1">
      <w:pPr>
        <w:autoSpaceDE w:val="0"/>
        <w:autoSpaceDN w:val="0"/>
        <w:spacing w:after="0" w:line="576" w:lineRule="exact"/>
        <w:ind w:left="146" w:right="178" w:firstLine="642"/>
        <w:jc w:val="both"/>
        <w:rPr>
          <w:rFonts w:ascii="仿宋_GB2312" w:hAnsi="仿宋" w:eastAsia="仿宋_GB2312"/>
          <w:lang w:eastAsia="zh-CN"/>
        </w:rPr>
      </w:pPr>
      <w:r>
        <w:rPr>
          <w:rFonts w:hint="eastAsia" w:ascii="仿宋_GB2312" w:hAnsi="仿宋" w:eastAsia="仿宋_GB2312"/>
          <w:sz w:val="32"/>
          <w:lang w:eastAsia="zh-CN"/>
        </w:rPr>
        <w:t>村道选址选线应充分结合地形地貌，尽量沿等高线布线，减少高填深挖，降低工程难度和成本。优先串联各村民聚居点、农田、果园、养殖场等生产生活区域，方便村民出行和农产品运输。同时，要与外部交通网络，如国道、省道、县道等顺畅衔接，保障乡村与外界的联系。</w:t>
      </w:r>
    </w:p>
    <w:p w14:paraId="28068282">
      <w:pPr>
        <w:tabs>
          <w:tab w:val="left" w:pos="788"/>
        </w:tabs>
        <w:autoSpaceDE w:val="0"/>
        <w:autoSpaceDN w:val="0"/>
        <w:spacing w:after="0" w:line="576" w:lineRule="exact"/>
        <w:ind w:left="756"/>
        <w:rPr>
          <w:rFonts w:ascii="仿宋_GB2312" w:hAnsi="仿宋" w:eastAsia="仿宋_GB2312"/>
          <w:lang w:eastAsia="zh-CN"/>
        </w:rPr>
      </w:pPr>
      <w:r>
        <w:rPr>
          <w:rFonts w:hint="eastAsia" w:ascii="仿宋_GB2312" w:hAnsi="仿宋" w:eastAsia="仿宋_GB2312"/>
          <w:sz w:val="32"/>
          <w:lang w:eastAsia="zh-CN"/>
        </w:rPr>
        <w:t>2.建设要求</w:t>
      </w:r>
    </w:p>
    <w:p w14:paraId="1CC98E78">
      <w:pPr>
        <w:tabs>
          <w:tab w:val="left" w:pos="788"/>
        </w:tabs>
        <w:autoSpaceDE w:val="0"/>
        <w:autoSpaceDN w:val="0"/>
        <w:spacing w:after="0" w:line="576" w:lineRule="exact"/>
        <w:ind w:right="144" w:firstLine="640" w:firstLineChars="200"/>
        <w:jc w:val="both"/>
        <w:rPr>
          <w:rFonts w:ascii="仿宋_GB2312" w:hAnsi="仿宋" w:eastAsia="仿宋_GB2312"/>
          <w:lang w:eastAsia="zh-CN"/>
        </w:rPr>
      </w:pPr>
      <w:r>
        <w:rPr>
          <w:rFonts w:hint="eastAsia" w:ascii="仿宋_GB2312" w:hAnsi="仿宋" w:eastAsia="仿宋_GB2312"/>
          <w:sz w:val="32"/>
          <w:lang w:eastAsia="zh-CN"/>
        </w:rPr>
        <w:t>村道建设应进出畅通，满足生产生活需求，路面应100%硬化。</w:t>
      </w:r>
    </w:p>
    <w:p w14:paraId="7B6B6044">
      <w:pPr>
        <w:tabs>
          <w:tab w:val="left" w:pos="788"/>
        </w:tabs>
        <w:autoSpaceDE w:val="0"/>
        <w:autoSpaceDN w:val="0"/>
        <w:spacing w:after="0" w:line="576" w:lineRule="exact"/>
        <w:ind w:left="788" w:right="144"/>
        <w:rPr>
          <w:rFonts w:ascii="仿宋_GB2312" w:hAnsi="仿宋" w:eastAsia="仿宋_GB2312"/>
          <w:lang w:eastAsia="zh-CN"/>
        </w:rPr>
      </w:pPr>
      <w:r>
        <w:rPr>
          <w:rFonts w:hint="eastAsia" w:ascii="仿宋_GB2312" w:hAnsi="仿宋" w:eastAsia="仿宋_GB2312"/>
          <w:sz w:val="32"/>
          <w:lang w:eastAsia="zh-CN"/>
        </w:rPr>
        <w:t>（二）停车设施</w:t>
      </w:r>
      <w:r>
        <w:rPr>
          <w:rFonts w:hint="eastAsia" w:ascii="仿宋_GB2312" w:hAnsi="仿宋" w:eastAsia="仿宋_GB2312"/>
          <w:lang w:eastAsia="zh-CN"/>
        </w:rPr>
        <w:tab/>
      </w:r>
    </w:p>
    <w:p w14:paraId="61590644">
      <w:pPr>
        <w:tabs>
          <w:tab w:val="left" w:pos="788"/>
        </w:tabs>
        <w:autoSpaceDE w:val="0"/>
        <w:autoSpaceDN w:val="0"/>
        <w:spacing w:after="0" w:line="576" w:lineRule="exact"/>
        <w:ind w:right="144" w:firstLine="640" w:firstLineChars="200"/>
        <w:jc w:val="both"/>
        <w:rPr>
          <w:rFonts w:ascii="仿宋_GB2312" w:hAnsi="仿宋" w:eastAsia="仿宋_GB2312"/>
          <w:lang w:eastAsia="zh-CN"/>
        </w:rPr>
      </w:pPr>
      <w:r>
        <w:rPr>
          <w:rFonts w:hint="eastAsia" w:ascii="仿宋_GB2312" w:hAnsi="仿宋" w:eastAsia="仿宋_GB2312"/>
          <w:sz w:val="32"/>
          <w:lang w:eastAsia="zh-CN"/>
        </w:rPr>
        <w:t>停车设施可结合院落、晒谷场、广场等复合利用，重点满足人口密集区、旅游景点等区域停车需求。</w:t>
      </w:r>
    </w:p>
    <w:p w14:paraId="2F523865">
      <w:pPr>
        <w:tabs>
          <w:tab w:val="left" w:pos="788"/>
        </w:tabs>
        <w:autoSpaceDE w:val="0"/>
        <w:autoSpaceDN w:val="0"/>
        <w:spacing w:after="0" w:line="576" w:lineRule="exact"/>
        <w:ind w:right="144" w:firstLine="640" w:firstLineChars="200"/>
        <w:jc w:val="both"/>
        <w:rPr>
          <w:rFonts w:ascii="仿宋_GB2312" w:hAnsi="仿宋" w:eastAsia="仿宋_GB2312"/>
          <w:lang w:eastAsia="zh-CN"/>
        </w:rPr>
      </w:pPr>
      <w:r>
        <w:rPr>
          <w:rFonts w:hint="eastAsia" w:ascii="仿宋_GB2312" w:hAnsi="仿宋" w:eastAsia="仿宋_GB2312"/>
          <w:sz w:val="32"/>
          <w:lang w:eastAsia="zh-CN"/>
        </w:rPr>
        <w:t>公共停车场通道宽度应满足消防通道要求，单向通行车道≥4米，双向通行≥6米。</w:t>
      </w:r>
    </w:p>
    <w:p w14:paraId="004A3E6E">
      <w:pPr>
        <w:tabs>
          <w:tab w:val="left" w:pos="788"/>
        </w:tabs>
        <w:autoSpaceDE w:val="0"/>
        <w:autoSpaceDN w:val="0"/>
        <w:spacing w:after="0" w:line="576" w:lineRule="exact"/>
        <w:ind w:left="788"/>
        <w:rPr>
          <w:rFonts w:ascii="仿宋_GB2312" w:hAnsi="仿宋" w:eastAsia="仿宋_GB2312"/>
          <w:lang w:eastAsia="zh-CN"/>
        </w:rPr>
      </w:pPr>
      <w:r>
        <w:rPr>
          <w:rFonts w:hint="eastAsia" w:ascii="仿宋_GB2312" w:hAnsi="仿宋" w:eastAsia="仿宋_GB2312"/>
          <w:sz w:val="32"/>
          <w:lang w:eastAsia="zh-CN"/>
        </w:rPr>
        <w:t>（三）充电设施</w:t>
      </w:r>
      <w:r>
        <w:rPr>
          <w:rFonts w:hint="eastAsia" w:ascii="仿宋_GB2312" w:hAnsi="仿宋" w:eastAsia="仿宋_GB2312"/>
          <w:lang w:eastAsia="zh-CN"/>
        </w:rPr>
        <w:tab/>
      </w:r>
    </w:p>
    <w:p w14:paraId="3B49BD3B">
      <w:pPr>
        <w:tabs>
          <w:tab w:val="left" w:pos="788"/>
        </w:tabs>
        <w:autoSpaceDE w:val="0"/>
        <w:autoSpaceDN w:val="0"/>
        <w:spacing w:after="0" w:line="576" w:lineRule="exact"/>
        <w:ind w:right="144" w:firstLine="640" w:firstLineChars="200"/>
        <w:jc w:val="both"/>
        <w:rPr>
          <w:rFonts w:ascii="仿宋_GB2312" w:hAnsi="仿宋" w:eastAsia="仿宋_GB2312"/>
          <w:lang w:eastAsia="zh-CN"/>
        </w:rPr>
      </w:pPr>
      <w:r>
        <w:rPr>
          <w:rFonts w:hint="eastAsia" w:ascii="仿宋_GB2312" w:hAnsi="仿宋" w:eastAsia="仿宋_GB2312"/>
          <w:sz w:val="32"/>
          <w:lang w:eastAsia="zh-CN"/>
        </w:rPr>
        <w:t>村庄公共停车位需预留新能源车充电桩。农村充电设施布局应符合相关专项规划要求，与乡镇及村庄中、低压配电网规划和建设紧密结合，满足供电可靠性、电能质量及自动化等方面需求，并符合环境保护与消防安全规定。</w:t>
      </w:r>
    </w:p>
    <w:p w14:paraId="16ED4DEA">
      <w:pPr>
        <w:pStyle w:val="5"/>
        <w:rPr>
          <w:color w:val="auto"/>
        </w:rPr>
      </w:pPr>
      <w:r>
        <w:rPr>
          <w:color w:val="auto"/>
        </w:rPr>
        <w:t>市政基础设施管控</w:t>
      </w:r>
      <w:r>
        <w:rPr>
          <w:rFonts w:hint="eastAsia"/>
          <w:color w:val="auto"/>
        </w:rPr>
        <w:t>指引</w:t>
      </w:r>
    </w:p>
    <w:p w14:paraId="06BE82E6">
      <w:pPr>
        <w:tabs>
          <w:tab w:val="left" w:pos="788"/>
        </w:tabs>
        <w:autoSpaceDE w:val="0"/>
        <w:autoSpaceDN w:val="0"/>
        <w:spacing w:after="0" w:line="576" w:lineRule="exact"/>
        <w:ind w:left="788"/>
        <w:rPr>
          <w:rFonts w:ascii="仿宋_GB2312" w:hAnsi="仿宋" w:eastAsia="仿宋_GB2312"/>
          <w:sz w:val="32"/>
          <w:lang w:eastAsia="zh-CN"/>
        </w:rPr>
      </w:pPr>
      <w:r>
        <w:rPr>
          <w:rFonts w:hint="eastAsia" w:ascii="仿宋_GB2312" w:hAnsi="仿宋" w:eastAsia="仿宋_GB2312"/>
          <w:sz w:val="32"/>
          <w:lang w:eastAsia="zh-CN"/>
        </w:rPr>
        <w:t>（一）排水设施</w:t>
      </w:r>
      <w:r>
        <w:rPr>
          <w:rFonts w:hint="eastAsia" w:ascii="仿宋_GB2312" w:hAnsi="仿宋" w:eastAsia="仿宋_GB2312"/>
          <w:sz w:val="32"/>
          <w:lang w:eastAsia="zh-CN"/>
        </w:rPr>
        <w:tab/>
      </w:r>
    </w:p>
    <w:p w14:paraId="55B0573E">
      <w:pPr>
        <w:tabs>
          <w:tab w:val="left" w:pos="788"/>
        </w:tabs>
        <w:autoSpaceDE w:val="0"/>
        <w:autoSpaceDN w:val="0"/>
        <w:spacing w:after="0" w:line="576" w:lineRule="exact"/>
        <w:ind w:right="144" w:firstLine="640" w:firstLineChars="200"/>
        <w:jc w:val="both"/>
        <w:rPr>
          <w:rFonts w:ascii="仿宋_GB2312" w:hAnsi="仿宋_GB2312" w:eastAsia="仿宋_GB2312"/>
          <w:sz w:val="32"/>
          <w:lang w:eastAsia="zh-CN"/>
        </w:rPr>
      </w:pPr>
      <w:r>
        <w:rPr>
          <w:rFonts w:ascii="仿宋_GB2312" w:hAnsi="仿宋_GB2312" w:eastAsia="仿宋_GB2312"/>
          <w:sz w:val="32"/>
          <w:lang w:eastAsia="zh-CN"/>
        </w:rPr>
        <w:t>农村生活污水处理设施应远离集中式饮用水水源保护区，且农村生活污水处理设施排污口禁止设置于饮用水水源保护区内，农村生活污水处理设施一般设于村庄下游及夏季主导风向的下风向，宜优先利用荒地、废弃地建设以节约征地成本，并应考虑交通便利，便于设备运输与维护管理。</w:t>
      </w:r>
    </w:p>
    <w:p w14:paraId="690FCD5F">
      <w:pPr>
        <w:tabs>
          <w:tab w:val="left" w:pos="788"/>
        </w:tabs>
        <w:autoSpaceDE w:val="0"/>
        <w:autoSpaceDN w:val="0"/>
        <w:spacing w:after="0" w:line="576" w:lineRule="exact"/>
        <w:ind w:right="144" w:firstLine="640" w:firstLineChars="200"/>
        <w:jc w:val="both"/>
        <w:rPr>
          <w:rFonts w:ascii="仿宋_GB2312" w:hAnsi="仿宋_GB2312" w:eastAsia="仿宋_GB2312"/>
          <w:sz w:val="32"/>
          <w:lang w:eastAsia="zh-CN"/>
        </w:rPr>
      </w:pPr>
      <w:r>
        <w:rPr>
          <w:rFonts w:ascii="仿宋_GB2312" w:hAnsi="仿宋_GB2312" w:eastAsia="仿宋_GB2312"/>
          <w:sz w:val="32"/>
          <w:lang w:eastAsia="zh-CN"/>
        </w:rPr>
        <w:t>农村小型污水泵站宜设于村内地势低洼处，便于污水依托重力自流进入。选址应靠近居民区、学校等污水产生集中区域，以缩短收集管网长度。</w:t>
      </w:r>
    </w:p>
    <w:p w14:paraId="1E46AC47">
      <w:pPr>
        <w:tabs>
          <w:tab w:val="left" w:pos="788"/>
        </w:tabs>
        <w:autoSpaceDE w:val="0"/>
        <w:autoSpaceDN w:val="0"/>
        <w:spacing w:after="0" w:line="576" w:lineRule="exact"/>
        <w:ind w:right="144" w:firstLine="640" w:firstLineChars="200"/>
        <w:jc w:val="both"/>
        <w:rPr>
          <w:rFonts w:ascii="仿宋_GB2312" w:hAnsi="仿宋" w:eastAsia="仿宋_GB2312"/>
          <w:lang w:eastAsia="zh-CN"/>
        </w:rPr>
      </w:pPr>
      <w:r>
        <w:rPr>
          <w:rFonts w:hint="eastAsia" w:ascii="仿宋_GB2312" w:hAnsi="仿宋" w:eastAsia="仿宋_GB2312"/>
          <w:sz w:val="32"/>
          <w:lang w:eastAsia="zh-CN"/>
        </w:rPr>
        <w:t>农村污水处理设施出水水质应满足《农村生活污水处理设施水污染物排放标准》（</w:t>
      </w:r>
      <w:bookmarkStart w:id="18" w:name="_Hlk235651289"/>
      <w:r>
        <w:rPr>
          <w:rFonts w:hint="eastAsia" w:ascii="仿宋_GB2312" w:hAnsi="仿宋" w:eastAsia="仿宋_GB2312"/>
          <w:sz w:val="32"/>
          <w:lang w:eastAsia="zh-CN"/>
        </w:rPr>
        <w:t>DB42/1537-2019</w:t>
      </w:r>
      <w:bookmarkEnd w:id="18"/>
      <w:r>
        <w:rPr>
          <w:rFonts w:hint="eastAsia" w:ascii="仿宋_GB2312" w:hAnsi="仿宋" w:eastAsia="仿宋_GB2312"/>
          <w:sz w:val="32"/>
          <w:lang w:eastAsia="zh-CN"/>
        </w:rPr>
        <w:t>）的相关要求。污水管线敷设应结合人口密度与污水产生量，优先依据自然地形高差采用重力流方式布设（坡度不小于0.5%），减少泵站使用。在山区宜采用阶梯式敷设，并于陡坡段设置跌水井消能。</w:t>
      </w:r>
    </w:p>
    <w:p w14:paraId="184BCF73">
      <w:pPr>
        <w:tabs>
          <w:tab w:val="left" w:pos="788"/>
        </w:tabs>
        <w:autoSpaceDE w:val="0"/>
        <w:autoSpaceDN w:val="0"/>
        <w:spacing w:after="0" w:line="576" w:lineRule="exact"/>
        <w:ind w:left="788"/>
        <w:rPr>
          <w:rFonts w:ascii="仿宋_GB2312" w:hAnsi="仿宋" w:eastAsia="仿宋_GB2312"/>
          <w:lang w:eastAsia="zh-CN"/>
        </w:rPr>
      </w:pPr>
      <w:r>
        <w:rPr>
          <w:rFonts w:hint="eastAsia" w:ascii="仿宋_GB2312" w:hAnsi="仿宋" w:eastAsia="仿宋_GB2312"/>
          <w:sz w:val="32"/>
          <w:lang w:eastAsia="zh-CN"/>
        </w:rPr>
        <w:t>（二）电力设施</w:t>
      </w:r>
      <w:r>
        <w:rPr>
          <w:rFonts w:hint="eastAsia" w:ascii="仿宋_GB2312" w:hAnsi="仿宋" w:eastAsia="仿宋_GB2312"/>
          <w:lang w:eastAsia="zh-CN"/>
        </w:rPr>
        <w:tab/>
      </w:r>
    </w:p>
    <w:p w14:paraId="2F623656">
      <w:pPr>
        <w:tabs>
          <w:tab w:val="left" w:pos="788"/>
        </w:tabs>
        <w:autoSpaceDE w:val="0"/>
        <w:autoSpaceDN w:val="0"/>
        <w:spacing w:after="0" w:line="576" w:lineRule="exact"/>
        <w:ind w:right="144" w:firstLine="640" w:firstLineChars="200"/>
        <w:jc w:val="both"/>
        <w:rPr>
          <w:rFonts w:ascii="仿宋_GB2312" w:hAnsi="仿宋_GB2312" w:eastAsia="仿宋_GB2312"/>
          <w:sz w:val="32"/>
          <w:lang w:eastAsia="zh-CN"/>
        </w:rPr>
      </w:pPr>
      <w:r>
        <w:rPr>
          <w:rFonts w:ascii="仿宋_GB2312" w:hAnsi="仿宋_GB2312" w:eastAsia="仿宋_GB2312"/>
          <w:sz w:val="32"/>
          <w:lang w:eastAsia="zh-CN"/>
        </w:rPr>
        <w:t>村配电房选址应靠近负荷中心，以缩短供电半径、降低线损，并预留扩容空间，适应村庄发展需要。宜邻近主干电力线路布置，便于接入与出线，并避开规划建筑区及高秆植物生长区域。</w:t>
      </w:r>
    </w:p>
    <w:p w14:paraId="65CB46A0">
      <w:pPr>
        <w:tabs>
          <w:tab w:val="left" w:pos="788"/>
        </w:tabs>
        <w:autoSpaceDE w:val="0"/>
        <w:autoSpaceDN w:val="0"/>
        <w:spacing w:after="0" w:line="576" w:lineRule="exact"/>
        <w:ind w:right="144" w:firstLine="640" w:firstLineChars="200"/>
        <w:jc w:val="both"/>
        <w:rPr>
          <w:rFonts w:ascii="仿宋_GB2312" w:hAnsi="仿宋" w:eastAsia="仿宋_GB2312"/>
          <w:lang w:eastAsia="zh-CN"/>
        </w:rPr>
      </w:pPr>
      <w:r>
        <w:rPr>
          <w:rFonts w:hint="eastAsia" w:ascii="仿宋_GB2312" w:hAnsi="仿宋" w:eastAsia="仿宋_GB2312"/>
          <w:sz w:val="32"/>
          <w:lang w:eastAsia="zh-CN"/>
        </w:rPr>
        <w:t>村配电房应符合《</w:t>
      </w:r>
      <w:bookmarkStart w:id="19" w:name="_Hlk235651315"/>
      <w:r>
        <w:rPr>
          <w:rFonts w:hint="eastAsia" w:ascii="仿宋_GB2312" w:hAnsi="仿宋" w:eastAsia="仿宋_GB2312"/>
          <w:sz w:val="32"/>
          <w:lang w:eastAsia="zh-CN"/>
        </w:rPr>
        <w:t>农村电网建设与改造技术导则</w:t>
      </w:r>
      <w:bookmarkEnd w:id="19"/>
      <w:r>
        <w:rPr>
          <w:rFonts w:hint="eastAsia" w:ascii="仿宋_GB2312" w:hAnsi="仿宋" w:eastAsia="仿宋_GB2312"/>
          <w:sz w:val="32"/>
          <w:lang w:eastAsia="zh-CN"/>
        </w:rPr>
        <w:t>》（</w:t>
      </w:r>
      <w:bookmarkStart w:id="20" w:name="_Hlk235651306"/>
      <w:r>
        <w:rPr>
          <w:rFonts w:hint="eastAsia" w:ascii="仿宋_GB2312" w:hAnsi="仿宋" w:eastAsia="仿宋_GB2312"/>
          <w:sz w:val="32"/>
          <w:lang w:eastAsia="zh-CN"/>
        </w:rPr>
        <w:t>DL/T 5131-2015</w:t>
      </w:r>
      <w:bookmarkEnd w:id="20"/>
      <w:r>
        <w:rPr>
          <w:rFonts w:hint="eastAsia" w:ascii="仿宋_GB2312" w:hAnsi="仿宋" w:eastAsia="仿宋_GB2312"/>
          <w:sz w:val="32"/>
          <w:lang w:eastAsia="zh-CN"/>
        </w:rPr>
        <w:t>）相关要求与建设标准，宜采用户内布置方式，建筑面积以20-50平方米为宜。电力管线应沿道路或现有廊道敷设，减少交叉跨越，避开树林及建筑密集区，以降低林木砍伐、房屋拆迁成本及外力破坏风险；跨越河流、公路等特殊区段时，须采取加强防护措施，保障线路安全。</w:t>
      </w:r>
    </w:p>
    <w:p w14:paraId="4261499B">
      <w:pPr>
        <w:tabs>
          <w:tab w:val="left" w:pos="788"/>
        </w:tabs>
        <w:autoSpaceDE w:val="0"/>
        <w:autoSpaceDN w:val="0"/>
        <w:spacing w:after="0" w:line="576" w:lineRule="exact"/>
        <w:ind w:left="788"/>
        <w:rPr>
          <w:rFonts w:ascii="仿宋_GB2312" w:hAnsi="仿宋" w:eastAsia="仿宋_GB2312"/>
          <w:lang w:eastAsia="zh-CN"/>
        </w:rPr>
      </w:pPr>
      <w:r>
        <w:rPr>
          <w:rFonts w:hint="eastAsia" w:ascii="仿宋_GB2312" w:hAnsi="仿宋" w:eastAsia="仿宋_GB2312"/>
          <w:sz w:val="32"/>
          <w:lang w:eastAsia="zh-CN"/>
        </w:rPr>
        <w:t>（三）通信设施</w:t>
      </w:r>
      <w:r>
        <w:rPr>
          <w:rFonts w:hint="eastAsia" w:ascii="仿宋_GB2312" w:hAnsi="仿宋" w:eastAsia="仿宋_GB2312"/>
          <w:lang w:eastAsia="zh-CN"/>
        </w:rPr>
        <w:tab/>
      </w:r>
    </w:p>
    <w:p w14:paraId="2951A536">
      <w:pPr>
        <w:tabs>
          <w:tab w:val="left" w:pos="788"/>
        </w:tabs>
        <w:autoSpaceDE w:val="0"/>
        <w:autoSpaceDN w:val="0"/>
        <w:spacing w:after="0" w:line="576" w:lineRule="exact"/>
        <w:ind w:right="144" w:firstLine="640" w:firstLineChars="200"/>
        <w:jc w:val="both"/>
        <w:rPr>
          <w:rFonts w:ascii="仿宋_GB2312" w:hAnsi="仿宋_GB2312" w:eastAsia="仿宋_GB2312"/>
          <w:sz w:val="32"/>
          <w:lang w:eastAsia="zh-CN"/>
        </w:rPr>
      </w:pPr>
      <w:r>
        <w:rPr>
          <w:rFonts w:ascii="仿宋_GB2312" w:hAnsi="仿宋_GB2312" w:eastAsia="仿宋_GB2312"/>
          <w:sz w:val="32"/>
          <w:lang w:eastAsia="zh-CN"/>
        </w:rPr>
        <w:t>通信基站宜选址于地势高、视野开阔处，以增强信号覆盖。应避开大型变电站、发射塔等强干扰源，并与周边建筑及景观相协调，减少对乡村风貌的视觉影响。</w:t>
      </w:r>
    </w:p>
    <w:p w14:paraId="3C3BE3A8">
      <w:pPr>
        <w:tabs>
          <w:tab w:val="left" w:pos="788"/>
        </w:tabs>
        <w:autoSpaceDE w:val="0"/>
        <w:autoSpaceDN w:val="0"/>
        <w:spacing w:after="0" w:line="576" w:lineRule="exact"/>
        <w:ind w:right="144" w:firstLine="640" w:firstLineChars="200"/>
        <w:jc w:val="both"/>
        <w:rPr>
          <w:rFonts w:ascii="仿宋_GB2312" w:hAnsi="仿宋" w:eastAsia="仿宋_GB2312"/>
          <w:lang w:eastAsia="zh-CN"/>
        </w:rPr>
      </w:pPr>
      <w:r>
        <w:rPr>
          <w:rFonts w:hint="eastAsia" w:ascii="仿宋_GB2312" w:hAnsi="仿宋" w:eastAsia="仿宋_GB2312"/>
          <w:sz w:val="32"/>
          <w:lang w:eastAsia="zh-CN"/>
        </w:rPr>
        <w:t>通信管线敷设应优先利用既有道路或河道沿线。应沿道路或管道沟敷设，便于施工和维护。对于偏远山区乡村，可采用架空光缆方式，降低建设成本。</w:t>
      </w:r>
    </w:p>
    <w:p w14:paraId="6099721B">
      <w:pPr>
        <w:tabs>
          <w:tab w:val="left" w:pos="788"/>
        </w:tabs>
        <w:autoSpaceDE w:val="0"/>
        <w:autoSpaceDN w:val="0"/>
        <w:spacing w:after="0" w:line="576" w:lineRule="exact"/>
        <w:ind w:left="788"/>
        <w:rPr>
          <w:rFonts w:ascii="仿宋_GB2312" w:hAnsi="仿宋" w:eastAsia="仿宋_GB2312"/>
          <w:lang w:eastAsia="zh-CN"/>
        </w:rPr>
      </w:pPr>
      <w:r>
        <w:rPr>
          <w:rFonts w:hint="eastAsia" w:ascii="仿宋_GB2312" w:hAnsi="仿宋" w:eastAsia="仿宋_GB2312"/>
          <w:sz w:val="32"/>
          <w:lang w:eastAsia="zh-CN"/>
        </w:rPr>
        <w:t>（四）燃气设施</w:t>
      </w:r>
      <w:r>
        <w:rPr>
          <w:rFonts w:hint="eastAsia" w:ascii="仿宋_GB2312" w:hAnsi="仿宋" w:eastAsia="仿宋_GB2312"/>
          <w:lang w:eastAsia="zh-CN"/>
        </w:rPr>
        <w:tab/>
      </w:r>
    </w:p>
    <w:p w14:paraId="79BB59FC">
      <w:pPr>
        <w:tabs>
          <w:tab w:val="left" w:pos="788"/>
        </w:tabs>
        <w:autoSpaceDE w:val="0"/>
        <w:autoSpaceDN w:val="0"/>
        <w:spacing w:after="0" w:line="576" w:lineRule="exact"/>
        <w:ind w:right="144" w:firstLine="640" w:firstLineChars="200"/>
        <w:jc w:val="both"/>
        <w:rPr>
          <w:rFonts w:ascii="仿宋_GB2312" w:hAnsi="仿宋" w:eastAsia="仿宋_GB2312"/>
          <w:lang w:eastAsia="zh-CN"/>
        </w:rPr>
      </w:pPr>
      <w:r>
        <w:rPr>
          <w:rFonts w:hint="eastAsia" w:ascii="仿宋_GB2312" w:hAnsi="仿宋" w:eastAsia="仿宋_GB2312"/>
          <w:sz w:val="32"/>
          <w:lang w:eastAsia="zh-CN"/>
        </w:rPr>
        <w:t>燃气管线应沿道路敷设，并与建（构）筑物保持安全间距。应避开高压电塔、易燃易爆仓库等危险区域。穿越河流、公路时，应采取加强防护措施，确保管道安全。</w:t>
      </w:r>
    </w:p>
    <w:p w14:paraId="23781322">
      <w:pPr>
        <w:tabs>
          <w:tab w:val="left" w:pos="788"/>
        </w:tabs>
        <w:autoSpaceDE w:val="0"/>
        <w:autoSpaceDN w:val="0"/>
        <w:spacing w:after="0" w:line="576" w:lineRule="exact"/>
        <w:ind w:left="788"/>
        <w:rPr>
          <w:rFonts w:ascii="仿宋_GB2312" w:hAnsi="仿宋" w:eastAsia="仿宋_GB2312"/>
          <w:lang w:eastAsia="zh-CN"/>
        </w:rPr>
      </w:pPr>
      <w:r>
        <w:rPr>
          <w:rFonts w:hint="eastAsia" w:ascii="仿宋_GB2312" w:hAnsi="仿宋" w:eastAsia="仿宋_GB2312"/>
          <w:sz w:val="32"/>
          <w:lang w:eastAsia="zh-CN"/>
        </w:rPr>
        <w:t>（五）环卫设施</w:t>
      </w:r>
      <w:r>
        <w:rPr>
          <w:rFonts w:hint="eastAsia" w:ascii="仿宋_GB2312" w:hAnsi="仿宋" w:eastAsia="仿宋_GB2312"/>
          <w:lang w:eastAsia="zh-CN"/>
        </w:rPr>
        <w:tab/>
      </w:r>
    </w:p>
    <w:p w14:paraId="5082B91F">
      <w:pPr>
        <w:tabs>
          <w:tab w:val="left" w:pos="788"/>
        </w:tabs>
        <w:autoSpaceDE w:val="0"/>
        <w:autoSpaceDN w:val="0"/>
        <w:spacing w:after="0" w:line="576" w:lineRule="exact"/>
        <w:ind w:right="144" w:firstLine="640" w:firstLineChars="200"/>
        <w:jc w:val="both"/>
        <w:rPr>
          <w:rFonts w:ascii="仿宋_GB2312" w:hAnsi="仿宋_GB2312" w:eastAsia="仿宋_GB2312"/>
          <w:sz w:val="32"/>
          <w:lang w:eastAsia="zh-CN"/>
        </w:rPr>
      </w:pPr>
      <w:r>
        <w:rPr>
          <w:rFonts w:ascii="仿宋_GB2312" w:hAnsi="仿宋_GB2312" w:eastAsia="仿宋_GB2312"/>
          <w:sz w:val="32"/>
          <w:lang w:eastAsia="zh-CN"/>
        </w:rPr>
        <w:t>垃圾中转站宜选址于交通便利、远离水源保护区及居住密集区的地段，便于集中转运。各村民小组或聚居区应设置垃圾收集点，便于村民投放。收集点应设于通风良好、不影响居民生活的位置，并具备防雨和防渗漏措施。农村公厕应选址于人流量较大、通风良好的区域。</w:t>
      </w:r>
    </w:p>
    <w:p w14:paraId="4204B5D3">
      <w:pPr>
        <w:tabs>
          <w:tab w:val="left" w:pos="788"/>
        </w:tabs>
        <w:autoSpaceDE w:val="0"/>
        <w:autoSpaceDN w:val="0"/>
        <w:spacing w:after="0" w:line="576" w:lineRule="exact"/>
        <w:ind w:right="144" w:firstLine="640" w:firstLineChars="200"/>
        <w:jc w:val="both"/>
        <w:rPr>
          <w:rFonts w:ascii="仿宋_GB2312" w:hAnsi="仿宋_GB2312" w:eastAsia="仿宋_GB2312"/>
          <w:sz w:val="32"/>
          <w:lang w:eastAsia="zh-CN"/>
        </w:rPr>
      </w:pPr>
      <w:r>
        <w:rPr>
          <w:rFonts w:ascii="仿宋_GB2312" w:hAnsi="仿宋_GB2312" w:eastAsia="仿宋_GB2312"/>
          <w:sz w:val="32"/>
          <w:lang w:eastAsia="zh-CN"/>
        </w:rPr>
        <w:t>垃圾收集点应符合</w:t>
      </w:r>
      <w:bookmarkStart w:id="21" w:name="_Hlk235651444"/>
      <w:r>
        <w:rPr>
          <w:rFonts w:ascii="仿宋_GB2312" w:hAnsi="仿宋_GB2312" w:eastAsia="仿宋_GB2312"/>
          <w:sz w:val="32"/>
          <w:lang w:eastAsia="zh-CN"/>
        </w:rPr>
        <w:t>《农村生活垃圾收运和处理技术标准》（GB/T51435—2021）</w:t>
      </w:r>
      <w:bookmarkEnd w:id="21"/>
      <w:r>
        <w:rPr>
          <w:rFonts w:ascii="仿宋_GB2312" w:hAnsi="仿宋_GB2312" w:eastAsia="仿宋_GB2312"/>
          <w:sz w:val="32"/>
          <w:lang w:eastAsia="zh-CN"/>
        </w:rPr>
        <w:t>的规定</w:t>
      </w:r>
      <w:r>
        <w:rPr>
          <w:rFonts w:hint="eastAsia" w:ascii="仿宋_GB2312" w:hAnsi="仿宋_GB2312" w:eastAsia="仿宋_GB2312"/>
          <w:sz w:val="32"/>
          <w:lang w:eastAsia="zh-CN"/>
        </w:rPr>
        <w:t>，</w:t>
      </w:r>
      <w:r>
        <w:rPr>
          <w:rFonts w:ascii="仿宋_GB2312" w:hAnsi="仿宋_GB2312" w:eastAsia="仿宋_GB2312"/>
          <w:sz w:val="32"/>
          <w:lang w:eastAsia="zh-CN"/>
        </w:rPr>
        <w:t>单个农村生活垃圾收集点占地面积不宜超过2平方米。</w:t>
      </w:r>
    </w:p>
    <w:p w14:paraId="49C03824">
      <w:pPr>
        <w:tabs>
          <w:tab w:val="left" w:pos="788"/>
        </w:tabs>
        <w:autoSpaceDE w:val="0"/>
        <w:autoSpaceDN w:val="0"/>
        <w:spacing w:after="0" w:line="576" w:lineRule="exact"/>
        <w:ind w:right="144" w:firstLine="640" w:firstLineChars="200"/>
        <w:jc w:val="both"/>
        <w:rPr>
          <w:rFonts w:ascii="仿宋_GB2312" w:hAnsi="仿宋_GB2312" w:eastAsia="仿宋_GB2312"/>
          <w:sz w:val="32"/>
          <w:lang w:eastAsia="zh-CN"/>
        </w:rPr>
      </w:pPr>
      <w:r>
        <w:rPr>
          <w:rFonts w:ascii="仿宋_GB2312" w:hAnsi="仿宋_GB2312" w:eastAsia="仿宋_GB2312"/>
          <w:sz w:val="32"/>
          <w:lang w:eastAsia="zh-CN"/>
        </w:rPr>
        <w:t>农村公厕宜与其他公共服务设施合建，单独占地的农村公厕用地面积宜为20</w:t>
      </w:r>
      <w:r>
        <w:rPr>
          <w:rFonts w:hint="eastAsia" w:ascii="仿宋_GB2312" w:hAnsi="仿宋_GB2312" w:eastAsia="仿宋_GB2312"/>
          <w:sz w:val="32"/>
          <w:lang w:eastAsia="zh-CN"/>
        </w:rPr>
        <w:t>-</w:t>
      </w:r>
      <w:r>
        <w:rPr>
          <w:rFonts w:ascii="仿宋_GB2312" w:hAnsi="仿宋_GB2312" w:eastAsia="仿宋_GB2312"/>
          <w:sz w:val="32"/>
          <w:lang w:eastAsia="zh-CN"/>
        </w:rPr>
        <w:t>80平方米。其他建设应符合</w:t>
      </w:r>
      <w:bookmarkStart w:id="22" w:name="_Hlk235651463"/>
      <w:r>
        <w:rPr>
          <w:rFonts w:ascii="仿宋_GB2312" w:hAnsi="仿宋_GB2312" w:eastAsia="仿宋_GB2312"/>
          <w:sz w:val="32"/>
          <w:lang w:eastAsia="zh-CN"/>
        </w:rPr>
        <w:t>《农村公共厕所建设与管理规范》（GB/T38353—2019）</w:t>
      </w:r>
      <w:bookmarkEnd w:id="22"/>
      <w:r>
        <w:rPr>
          <w:rFonts w:ascii="仿宋_GB2312" w:hAnsi="仿宋_GB2312" w:eastAsia="仿宋_GB2312"/>
          <w:sz w:val="32"/>
          <w:lang w:eastAsia="zh-CN"/>
        </w:rPr>
        <w:t>等标准要求。</w:t>
      </w:r>
    </w:p>
    <w:p w14:paraId="6E36AAC5">
      <w:pPr>
        <w:pStyle w:val="5"/>
        <w:rPr>
          <w:color w:val="auto"/>
        </w:rPr>
      </w:pPr>
      <w:r>
        <w:rPr>
          <w:rFonts w:hint="eastAsia"/>
          <w:color w:val="auto"/>
        </w:rPr>
        <w:t>土地综合整治与生态修复管控指引</w:t>
      </w:r>
    </w:p>
    <w:p w14:paraId="72D93DFA">
      <w:pPr>
        <w:tabs>
          <w:tab w:val="left" w:pos="788"/>
        </w:tabs>
        <w:autoSpaceDE w:val="0"/>
        <w:autoSpaceDN w:val="0"/>
        <w:spacing w:after="0" w:line="576" w:lineRule="exact"/>
        <w:ind w:right="142"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聚焦耕地保护和粮食安全，优化农村生产、生活、生态空间，整体推进耕地集中连片整治、农村低效建设用地整治，推进耕地质量提高，促进土地节约高效利用。</w:t>
      </w:r>
    </w:p>
    <w:p w14:paraId="424244C6">
      <w:pPr>
        <w:tabs>
          <w:tab w:val="left" w:pos="788"/>
        </w:tabs>
        <w:autoSpaceDE w:val="0"/>
        <w:autoSpaceDN w:val="0"/>
        <w:spacing w:after="0" w:line="576" w:lineRule="exact"/>
        <w:ind w:right="142"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坚持生态优先、绿色发展，统筹“山水林田湖”系统治理和修复。结合生态修复现状评价和修复区识别，将全区划分为梁子湖生态农业综合修复区、水源涵养和生物多样性保护修复区、中部绿色农业综合整治修复区</w:t>
      </w:r>
      <w:r>
        <w:rPr>
          <w:rFonts w:ascii="仿宋_GB2312" w:hAnsi="仿宋_GB2312" w:eastAsia="仿宋_GB2312"/>
          <w:sz w:val="32"/>
          <w:lang w:eastAsia="zh-CN"/>
        </w:rPr>
        <w:t>3</w:t>
      </w:r>
      <w:r>
        <w:rPr>
          <w:rFonts w:hint="eastAsia" w:ascii="仿宋_GB2312" w:hAnsi="仿宋_GB2312" w:eastAsia="仿宋_GB2312"/>
          <w:sz w:val="32"/>
          <w:lang w:eastAsia="zh-CN"/>
        </w:rPr>
        <w:t>大生态修复分区。</w:t>
      </w:r>
    </w:p>
    <w:p w14:paraId="154FE781">
      <w:pPr>
        <w:tabs>
          <w:tab w:val="left" w:pos="788"/>
        </w:tabs>
        <w:autoSpaceDE w:val="0"/>
        <w:autoSpaceDN w:val="0"/>
        <w:spacing w:after="0" w:line="576" w:lineRule="exact"/>
        <w:ind w:right="142"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梁子湖生态农业综合修复区。主要分布于梁子湖及周边区域，以水污染防治、农业面源污染治理、渔业资源保护为重点，进行水污染控制及治理；推进河湖水系连通，开展生态清淤疏浚，增强水体自净能力，对日益萎缩的湿地面积和退化的湿地生态环境进行恢复；建设流域内生态林业工程，提高森林覆盖率，防治水土流失。</w:t>
      </w:r>
    </w:p>
    <w:p w14:paraId="35710DDD">
      <w:pPr>
        <w:tabs>
          <w:tab w:val="left" w:pos="788"/>
        </w:tabs>
        <w:autoSpaceDE w:val="0"/>
        <w:autoSpaceDN w:val="0"/>
        <w:spacing w:after="0" w:line="576" w:lineRule="exact"/>
        <w:ind w:right="142"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水源涵养和生物多样性保护修复区。主要分布于沼山、大山岭等山体余脉及周边区域，以生物多样性保护、水土流失、森林质量精准提升、湿地生态系统修复、矿山修复为主要修复任务，采取自然恢复为主、人工修复为辅的方式，修复受损的生态空间，提升区域水源涵养、生物多样性保护等生态系统功能，不断夯实绿色生态屏障。</w:t>
      </w:r>
    </w:p>
    <w:p w14:paraId="686BEDCA">
      <w:pPr>
        <w:tabs>
          <w:tab w:val="left" w:pos="788"/>
        </w:tabs>
        <w:autoSpaceDE w:val="0"/>
        <w:autoSpaceDN w:val="0"/>
        <w:spacing w:after="0" w:line="576" w:lineRule="exact"/>
        <w:ind w:right="142"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中部绿色农业综合整治修复区。主要分布于北侧长港两岸乡村田园地区，以流域水生态环境治理、耕地数量质量生态三位一体保护修复、国土综合整治提升为主要修复任务，对长港沿岸等生态区域实施农业面源污染治理，对区域内水体养殖区开展养殖尾水治理工程。</w:t>
      </w:r>
    </w:p>
    <w:p w14:paraId="0F8E53A6">
      <w:pPr>
        <w:pStyle w:val="5"/>
        <w:rPr>
          <w:color w:val="auto"/>
        </w:rPr>
      </w:pPr>
      <w:r>
        <w:rPr>
          <w:color w:val="auto"/>
        </w:rPr>
        <w:t>综合防灾管控</w:t>
      </w:r>
      <w:r>
        <w:rPr>
          <w:rFonts w:hint="eastAsia"/>
          <w:color w:val="auto"/>
        </w:rPr>
        <w:t>指引</w:t>
      </w:r>
    </w:p>
    <w:p w14:paraId="44332A9C">
      <w:pPr>
        <w:tabs>
          <w:tab w:val="left" w:pos="788"/>
        </w:tabs>
        <w:autoSpaceDE w:val="0"/>
        <w:autoSpaceDN w:val="0"/>
        <w:spacing w:after="0" w:line="576" w:lineRule="exact"/>
        <w:ind w:right="142" w:firstLine="640" w:firstLineChars="200"/>
        <w:jc w:val="both"/>
        <w:rPr>
          <w:rFonts w:ascii="仿宋_GB2312" w:hAnsi="仿宋_GB2312" w:eastAsia="仿宋_GB2312"/>
          <w:sz w:val="32"/>
          <w:lang w:eastAsia="zh-CN"/>
        </w:rPr>
      </w:pPr>
      <w:r>
        <w:rPr>
          <w:rFonts w:ascii="仿宋_GB2312" w:hAnsi="仿宋_GB2312" w:eastAsia="仿宋_GB2312"/>
          <w:sz w:val="32"/>
          <w:lang w:eastAsia="zh-CN"/>
        </w:rPr>
        <w:t>抗震设防</w:t>
      </w:r>
      <w:r>
        <w:rPr>
          <w:rFonts w:hint="eastAsia" w:ascii="仿宋_GB2312" w:hAnsi="仿宋_GB2312" w:eastAsia="仿宋_GB2312"/>
          <w:sz w:val="32"/>
          <w:lang w:eastAsia="zh-CN"/>
        </w:rPr>
        <w:t>。</w:t>
      </w:r>
      <w:r>
        <w:rPr>
          <w:rFonts w:ascii="仿宋_GB2312" w:hAnsi="仿宋_GB2312" w:eastAsia="仿宋_GB2312"/>
          <w:sz w:val="32"/>
          <w:lang w:eastAsia="zh-CN"/>
        </w:rPr>
        <w:t>根据</w:t>
      </w:r>
      <w:bookmarkStart w:id="23" w:name="_Hlk235651480"/>
      <w:r>
        <w:rPr>
          <w:rFonts w:ascii="仿宋_GB2312" w:hAnsi="仿宋_GB2312" w:eastAsia="仿宋_GB2312"/>
          <w:sz w:val="32"/>
          <w:lang w:eastAsia="zh-CN"/>
        </w:rPr>
        <w:t>《中国地震动参数区划图》（GB18306—2015）</w:t>
      </w:r>
      <w:bookmarkEnd w:id="23"/>
      <w:r>
        <w:rPr>
          <w:rFonts w:ascii="仿宋_GB2312" w:hAnsi="仿宋_GB2312" w:eastAsia="仿宋_GB2312"/>
          <w:sz w:val="32"/>
          <w:lang w:eastAsia="zh-CN"/>
        </w:rPr>
        <w:t>，</w:t>
      </w:r>
      <w:r>
        <w:rPr>
          <w:rFonts w:hint="eastAsia" w:ascii="仿宋_GB2312" w:hAnsi="仿宋_GB2312" w:eastAsia="仿宋_GB2312"/>
          <w:sz w:val="32"/>
          <w:lang w:eastAsia="zh-CN"/>
        </w:rPr>
        <w:t>梁子湖区</w:t>
      </w:r>
      <w:r>
        <w:rPr>
          <w:rFonts w:ascii="仿宋_GB2312" w:hAnsi="仿宋_GB2312" w:eastAsia="仿宋_GB2312"/>
          <w:sz w:val="32"/>
          <w:lang w:eastAsia="zh-CN"/>
        </w:rPr>
        <w:t>地震基本设防烈度为Ⅵ度（地震动峰值加速度为0.</w:t>
      </w:r>
      <w:r>
        <w:rPr>
          <w:rFonts w:hint="eastAsia" w:ascii="仿宋_GB2312" w:hAnsi="仿宋_GB2312" w:eastAsia="仿宋_GB2312"/>
          <w:sz w:val="32"/>
          <w:lang w:eastAsia="zh-CN"/>
        </w:rPr>
        <w:t>05</w:t>
      </w:r>
      <w:r>
        <w:rPr>
          <w:rFonts w:ascii="仿宋_GB2312" w:hAnsi="仿宋_GB2312" w:eastAsia="仿宋_GB2312"/>
          <w:sz w:val="32"/>
          <w:lang w:eastAsia="zh-CN"/>
        </w:rPr>
        <w:t>g）。一般建设工程按照《中国地震动参数区划图》（GB18306—2015）进行抗震设防。学校、卫生院等人员密集场所按高于当地房屋建设抗震设防要求1档或不低于重点设防类的要求进行设计和施工，重大工程依据审定的地震安全性评价结果进行抗震设防。</w:t>
      </w:r>
    </w:p>
    <w:p w14:paraId="79F686EC">
      <w:pPr>
        <w:tabs>
          <w:tab w:val="left" w:pos="788"/>
        </w:tabs>
        <w:autoSpaceDE w:val="0"/>
        <w:autoSpaceDN w:val="0"/>
        <w:spacing w:after="0" w:line="576" w:lineRule="exact"/>
        <w:ind w:right="142" w:firstLine="640" w:firstLineChars="200"/>
        <w:jc w:val="both"/>
        <w:rPr>
          <w:rFonts w:ascii="仿宋_GB2312" w:hAnsi="仿宋" w:eastAsia="仿宋_GB2312"/>
          <w:lang w:eastAsia="zh-CN"/>
        </w:rPr>
      </w:pPr>
      <w:r>
        <w:rPr>
          <w:rFonts w:hint="eastAsia" w:ascii="仿宋_GB2312" w:hAnsi="仿宋" w:eastAsia="仿宋_GB2312"/>
          <w:sz w:val="32"/>
          <w:lang w:eastAsia="zh-CN"/>
        </w:rPr>
        <w:t>加强对各村组建筑物、构筑物、工业设备的抗震鉴定及加固工作，严格遵循</w:t>
      </w:r>
      <w:bookmarkStart w:id="24" w:name="_Hlk235651496"/>
      <w:r>
        <w:rPr>
          <w:rFonts w:hint="eastAsia" w:ascii="仿宋_GB2312" w:hAnsi="仿宋" w:eastAsia="仿宋_GB2312"/>
          <w:sz w:val="32"/>
          <w:lang w:eastAsia="zh-CN"/>
        </w:rPr>
        <w:t>《建筑工程抗震设防分类标准》（GB50223—2008）</w:t>
      </w:r>
      <w:bookmarkEnd w:id="24"/>
      <w:r>
        <w:rPr>
          <w:rFonts w:hint="eastAsia" w:ascii="仿宋_GB2312" w:hAnsi="仿宋" w:eastAsia="仿宋_GB2312"/>
          <w:sz w:val="32"/>
          <w:lang w:eastAsia="zh-CN"/>
        </w:rPr>
        <w:t>，提高抗震加固质量。城乡建筑工程要严格按照国家</w:t>
      </w:r>
      <w:bookmarkStart w:id="25" w:name="_Hlk235651505"/>
      <w:r>
        <w:rPr>
          <w:rFonts w:hint="eastAsia" w:ascii="仿宋_GB2312" w:hAnsi="仿宋" w:eastAsia="仿宋_GB2312"/>
          <w:sz w:val="32"/>
          <w:lang w:eastAsia="zh-CN"/>
        </w:rPr>
        <w:t>《建筑抗震设计规范》（GB50011—2010）、《建筑工程抗震设防分类标准》（GB50223—2008）、《建筑与市政工程抗震通用规范》（GB55002—2021）</w:t>
      </w:r>
      <w:bookmarkEnd w:id="25"/>
      <w:r>
        <w:rPr>
          <w:rFonts w:hint="eastAsia" w:ascii="仿宋_GB2312" w:hAnsi="仿宋" w:eastAsia="仿宋_GB2312"/>
          <w:sz w:val="32"/>
          <w:lang w:eastAsia="zh-CN"/>
        </w:rPr>
        <w:t>进行抗震设计和建设。新建、扩建、改建的建筑物、构筑物必须达到抗震设防要求。</w:t>
      </w:r>
    </w:p>
    <w:p w14:paraId="6741859B">
      <w:pPr>
        <w:tabs>
          <w:tab w:val="left" w:pos="788"/>
        </w:tabs>
        <w:autoSpaceDE w:val="0"/>
        <w:autoSpaceDN w:val="0"/>
        <w:spacing w:after="0" w:line="576" w:lineRule="exact"/>
        <w:ind w:right="142" w:firstLine="640" w:firstLineChars="200"/>
        <w:jc w:val="both"/>
        <w:rPr>
          <w:rFonts w:ascii="仿宋_GB2312" w:hAnsi="仿宋" w:eastAsia="仿宋_GB2312"/>
          <w:lang w:eastAsia="zh-CN"/>
        </w:rPr>
      </w:pPr>
      <w:r>
        <w:rPr>
          <w:rFonts w:hint="eastAsia" w:ascii="仿宋_GB2312" w:hAnsi="仿宋" w:eastAsia="仿宋_GB2312"/>
          <w:sz w:val="32"/>
          <w:lang w:eastAsia="zh-CN"/>
        </w:rPr>
        <w:t>消防管控指引。新建、改扩建建筑建设时应符合</w:t>
      </w:r>
      <w:bookmarkStart w:id="26" w:name="_Hlk235651521"/>
      <w:r>
        <w:rPr>
          <w:rFonts w:hint="eastAsia" w:ascii="仿宋_GB2312" w:hAnsi="仿宋" w:eastAsia="仿宋_GB2312"/>
          <w:sz w:val="32"/>
          <w:lang w:eastAsia="zh-CN"/>
        </w:rPr>
        <w:t>《建筑防火通用规范》（GB55037—2022）、《消防设施通用规范》（GB55036—2022）</w:t>
      </w:r>
      <w:bookmarkEnd w:id="26"/>
      <w:r>
        <w:rPr>
          <w:rFonts w:hint="eastAsia" w:ascii="仿宋_GB2312" w:hAnsi="仿宋" w:eastAsia="仿宋_GB2312"/>
          <w:sz w:val="32"/>
          <w:lang w:eastAsia="zh-CN"/>
        </w:rPr>
        <w:t>等相关规范。结合村委会、小学、幼儿园、养老院等公共服务设施设置微型消防站。利用自然水体（河流、池塘）作为消防水源，设置取水码头和警示标识。无自然水源地区，应建设高位消防水池（容量≥50立方米）或地下储水窖。</w:t>
      </w:r>
    </w:p>
    <w:p w14:paraId="0024104C">
      <w:pPr>
        <w:tabs>
          <w:tab w:val="left" w:pos="788"/>
        </w:tabs>
        <w:autoSpaceDE w:val="0"/>
        <w:autoSpaceDN w:val="0"/>
        <w:spacing w:after="0" w:line="576" w:lineRule="exact"/>
        <w:ind w:right="142" w:firstLine="640" w:firstLineChars="200"/>
        <w:jc w:val="both"/>
        <w:rPr>
          <w:rFonts w:ascii="仿宋_GB2312" w:hAnsi="仿宋" w:eastAsia="仿宋_GB2312"/>
          <w:lang w:eastAsia="zh-CN"/>
        </w:rPr>
      </w:pPr>
      <w:r>
        <w:rPr>
          <w:rFonts w:hint="eastAsia" w:ascii="仿宋_GB2312" w:hAnsi="仿宋" w:eastAsia="仿宋_GB2312"/>
          <w:sz w:val="32"/>
          <w:lang w:eastAsia="zh-CN"/>
        </w:rPr>
        <w:t>防洪排涝管控指引。严格遵守</w:t>
      </w:r>
      <w:bookmarkStart w:id="27" w:name="_Hlk235651537"/>
      <w:r>
        <w:rPr>
          <w:rFonts w:hint="eastAsia" w:ascii="仿宋_GB2312" w:hAnsi="仿宋" w:eastAsia="仿宋_GB2312"/>
          <w:sz w:val="32"/>
          <w:lang w:eastAsia="zh-CN"/>
        </w:rPr>
        <w:t>《防洪标准》（GB50201—2014）</w:t>
      </w:r>
      <w:bookmarkEnd w:id="27"/>
      <w:r>
        <w:rPr>
          <w:rFonts w:hint="eastAsia" w:ascii="仿宋_GB2312" w:hAnsi="仿宋" w:eastAsia="仿宋_GB2312"/>
          <w:sz w:val="32"/>
          <w:lang w:eastAsia="zh-CN"/>
        </w:rPr>
        <w:t>的规定。梁子湖、梧桐湖园区防洪标准达到</w:t>
      </w:r>
      <w:r>
        <w:rPr>
          <w:rFonts w:ascii="仿宋_GB2312" w:hAnsi="仿宋" w:eastAsia="仿宋_GB2312"/>
          <w:sz w:val="32"/>
          <w:lang w:eastAsia="zh-CN"/>
        </w:rPr>
        <w:t>50</w:t>
      </w:r>
      <w:r>
        <w:rPr>
          <w:rFonts w:hint="eastAsia" w:ascii="仿宋_GB2312" w:hAnsi="仿宋" w:eastAsia="仿宋_GB2312"/>
          <w:sz w:val="32"/>
          <w:lang w:eastAsia="zh-CN"/>
        </w:rPr>
        <w:t>年一遇，其它相对独立的乡镇和农村地区防洪标准达到</w:t>
      </w:r>
      <w:r>
        <w:rPr>
          <w:rFonts w:ascii="仿宋_GB2312" w:hAnsi="仿宋" w:eastAsia="仿宋_GB2312"/>
          <w:sz w:val="32"/>
          <w:lang w:eastAsia="zh-CN"/>
        </w:rPr>
        <w:t>20—30</w:t>
      </w:r>
      <w:r>
        <w:rPr>
          <w:rFonts w:hint="eastAsia" w:ascii="仿宋_GB2312" w:hAnsi="仿宋" w:eastAsia="仿宋_GB2312"/>
          <w:sz w:val="32"/>
          <w:lang w:eastAsia="zh-CN"/>
        </w:rPr>
        <w:t>年一遇。梁子湖流域城镇排涝标准达到</w:t>
      </w:r>
      <w:r>
        <w:rPr>
          <w:rFonts w:ascii="仿宋_GB2312" w:hAnsi="仿宋" w:eastAsia="仿宋_GB2312"/>
          <w:sz w:val="32"/>
          <w:lang w:eastAsia="zh-CN"/>
        </w:rPr>
        <w:t>20</w:t>
      </w:r>
      <w:r>
        <w:rPr>
          <w:rFonts w:hint="eastAsia" w:ascii="仿宋_GB2312" w:hAnsi="仿宋" w:eastAsia="仿宋_GB2312"/>
          <w:sz w:val="32"/>
          <w:lang w:eastAsia="zh-CN"/>
        </w:rPr>
        <w:t>年一遇，其他地区排涝标准达到</w:t>
      </w:r>
      <w:r>
        <w:rPr>
          <w:rFonts w:ascii="仿宋_GB2312" w:hAnsi="仿宋" w:eastAsia="仿宋_GB2312"/>
          <w:sz w:val="32"/>
          <w:lang w:eastAsia="zh-CN"/>
        </w:rPr>
        <w:t>10</w:t>
      </w:r>
      <w:r>
        <w:rPr>
          <w:rFonts w:hint="eastAsia" w:ascii="仿宋_GB2312" w:hAnsi="仿宋" w:eastAsia="仿宋_GB2312"/>
          <w:sz w:val="32"/>
          <w:lang w:eastAsia="zh-CN"/>
        </w:rPr>
        <w:t>年一遇，梧桐湖园区排涝能力能够有效应对</w:t>
      </w:r>
      <w:r>
        <w:rPr>
          <w:rFonts w:ascii="仿宋_GB2312" w:hAnsi="仿宋" w:eastAsia="仿宋_GB2312"/>
          <w:sz w:val="32"/>
          <w:lang w:eastAsia="zh-CN"/>
        </w:rPr>
        <w:t>50</w:t>
      </w:r>
      <w:r>
        <w:rPr>
          <w:rFonts w:hint="eastAsia" w:ascii="仿宋_GB2312" w:hAnsi="仿宋" w:eastAsia="仿宋_GB2312"/>
          <w:sz w:val="32"/>
          <w:lang w:eastAsia="zh-CN"/>
        </w:rPr>
        <w:t>年一遇暴雨。雨水管道设计降雨重现期标准达到</w:t>
      </w:r>
      <w:r>
        <w:rPr>
          <w:rFonts w:ascii="仿宋_GB2312" w:hAnsi="仿宋" w:eastAsia="仿宋_GB2312"/>
          <w:sz w:val="32"/>
          <w:lang w:eastAsia="zh-CN"/>
        </w:rPr>
        <w:t>2—5</w:t>
      </w:r>
      <w:r>
        <w:rPr>
          <w:rFonts w:hint="eastAsia" w:ascii="仿宋_GB2312" w:hAnsi="仿宋" w:eastAsia="仿宋_GB2312"/>
          <w:sz w:val="32"/>
          <w:lang w:eastAsia="zh-CN"/>
        </w:rPr>
        <w:t>年一遇，重要地区达到</w:t>
      </w:r>
      <w:r>
        <w:rPr>
          <w:rFonts w:ascii="仿宋_GB2312" w:hAnsi="仿宋" w:eastAsia="仿宋_GB2312"/>
          <w:sz w:val="32"/>
          <w:lang w:eastAsia="zh-CN"/>
        </w:rPr>
        <w:t>3—5</w:t>
      </w:r>
      <w:r>
        <w:rPr>
          <w:rFonts w:hint="eastAsia" w:ascii="仿宋_GB2312" w:hAnsi="仿宋" w:eastAsia="仿宋_GB2312"/>
          <w:sz w:val="32"/>
          <w:lang w:eastAsia="zh-CN"/>
        </w:rPr>
        <w:t>年一遇，地下通道和下沉式广场等达到</w:t>
      </w:r>
      <w:r>
        <w:rPr>
          <w:rFonts w:ascii="仿宋_GB2312" w:hAnsi="仿宋" w:eastAsia="仿宋_GB2312"/>
          <w:sz w:val="32"/>
          <w:lang w:eastAsia="zh-CN"/>
        </w:rPr>
        <w:t>20</w:t>
      </w:r>
      <w:r>
        <w:rPr>
          <w:rFonts w:hint="eastAsia" w:ascii="仿宋_GB2312" w:hAnsi="仿宋" w:eastAsia="仿宋_GB2312"/>
          <w:sz w:val="32"/>
          <w:lang w:eastAsia="zh-CN"/>
        </w:rPr>
        <w:t>年一遇。</w:t>
      </w:r>
    </w:p>
    <w:p w14:paraId="31191727">
      <w:pPr>
        <w:tabs>
          <w:tab w:val="left" w:pos="788"/>
        </w:tabs>
        <w:autoSpaceDE w:val="0"/>
        <w:autoSpaceDN w:val="0"/>
        <w:spacing w:after="0" w:line="576" w:lineRule="exact"/>
        <w:ind w:right="142" w:firstLine="640" w:firstLineChars="200"/>
        <w:jc w:val="both"/>
        <w:rPr>
          <w:rFonts w:ascii="仿宋_GB2312" w:hAnsi="仿宋" w:eastAsia="仿宋_GB2312"/>
          <w:lang w:eastAsia="zh-CN"/>
        </w:rPr>
      </w:pPr>
      <w:r>
        <w:rPr>
          <w:rFonts w:hint="eastAsia" w:ascii="仿宋_GB2312" w:hAnsi="仿宋" w:eastAsia="仿宋_GB2312"/>
          <w:sz w:val="32"/>
          <w:lang w:eastAsia="zh-CN"/>
        </w:rPr>
        <w:t>应急避难场所管控指引。结合小型体育活动场地、学校、公园绿地、停车场等公共设施有序推进应急避难场所规范化建设，在人员密集场所设置地震应急疏散通道，配备必要的救生避险设施。应急避难场所包括紧急避难场所、短期和长期避难场所，分为室内型、室外型和室内外兼具型。室内型紧急避难场所按人均有效避难面积不小于2平方米预留，室外型紧急避难场所按人均有效避难面积不小于1.5平方米预留。结合区域内高速公路等高等级公路设置区域避难主要疏散通道，结合国、省干道设置区域避难次要疏散通道。</w:t>
      </w:r>
    </w:p>
    <w:p w14:paraId="2A99F5C5">
      <w:pPr>
        <w:pStyle w:val="5"/>
        <w:rPr>
          <w:color w:val="auto"/>
        </w:rPr>
      </w:pPr>
      <w:r>
        <w:rPr>
          <w:color w:val="auto"/>
        </w:rPr>
        <w:t>乡村产业用地管控</w:t>
      </w:r>
      <w:r>
        <w:rPr>
          <w:rFonts w:hint="eastAsia"/>
          <w:color w:val="auto"/>
        </w:rPr>
        <w:t>指引</w:t>
      </w:r>
    </w:p>
    <w:p w14:paraId="6F764C82">
      <w:pPr>
        <w:spacing w:after="0"/>
        <w:ind w:firstLine="800" w:firstLineChars="250"/>
        <w:rPr>
          <w:rFonts w:ascii="仿宋_GB2312" w:hAnsi="仿宋" w:eastAsia="仿宋_GB2312"/>
          <w:lang w:eastAsia="zh-CN"/>
        </w:rPr>
      </w:pPr>
      <w:r>
        <w:rPr>
          <w:rFonts w:hint="eastAsia" w:ascii="仿宋_GB2312" w:hAnsi="仿宋" w:eastAsia="仿宋_GB2312"/>
          <w:sz w:val="32"/>
          <w:lang w:eastAsia="zh-CN"/>
        </w:rPr>
        <w:t>（一）乡村产业项目选址要求</w:t>
      </w:r>
    </w:p>
    <w:p w14:paraId="286219CA">
      <w:pPr>
        <w:tabs>
          <w:tab w:val="left" w:pos="788"/>
        </w:tabs>
        <w:autoSpaceDE w:val="0"/>
        <w:autoSpaceDN w:val="0"/>
        <w:spacing w:after="0" w:line="576" w:lineRule="exact"/>
        <w:ind w:right="144" w:firstLine="800" w:firstLineChars="250"/>
        <w:jc w:val="both"/>
        <w:rPr>
          <w:rFonts w:ascii="仿宋_GB2312" w:hAnsi="仿宋" w:eastAsia="仿宋_GB2312"/>
          <w:lang w:eastAsia="zh-CN"/>
        </w:rPr>
      </w:pPr>
      <w:r>
        <w:rPr>
          <w:rFonts w:hint="eastAsia" w:ascii="仿宋_GB2312" w:hAnsi="仿宋" w:eastAsia="仿宋_GB2312"/>
          <w:sz w:val="32"/>
          <w:lang w:eastAsia="zh-CN"/>
        </w:rPr>
        <w:t>乡村产业项目应符合《产业结构调整指导目录（2024年本）》</w:t>
      </w:r>
      <w:bookmarkStart w:id="28" w:name="_Hlk235651627"/>
      <w:r>
        <w:rPr>
          <w:rFonts w:hint="eastAsia" w:ascii="仿宋_GB2312" w:hAnsi="仿宋" w:eastAsia="仿宋_GB2312"/>
          <w:sz w:val="32"/>
          <w:lang w:eastAsia="zh-CN"/>
        </w:rPr>
        <w:t>《自然资源要素支撑产业高质量发展指导目录（2024年本）》</w:t>
      </w:r>
      <w:bookmarkEnd w:id="28"/>
      <w:r>
        <w:rPr>
          <w:rFonts w:hint="eastAsia" w:ascii="仿宋_GB2312" w:hAnsi="仿宋" w:eastAsia="仿宋_GB2312"/>
          <w:sz w:val="32"/>
          <w:lang w:eastAsia="zh-CN"/>
        </w:rPr>
        <w:t>《乡村振兴用地政策指南（2023年）》以及最新政策的相关要求。</w:t>
      </w:r>
    </w:p>
    <w:p w14:paraId="568434AC">
      <w:pPr>
        <w:autoSpaceDE w:val="0"/>
        <w:autoSpaceDN w:val="0"/>
        <w:spacing w:after="0" w:line="576" w:lineRule="exact"/>
        <w:ind w:left="146" w:right="180" w:firstLine="642"/>
        <w:jc w:val="both"/>
        <w:rPr>
          <w:rFonts w:ascii="仿宋_GB2312" w:hAnsi="仿宋" w:eastAsia="仿宋_GB2312"/>
          <w:lang w:eastAsia="zh-CN"/>
        </w:rPr>
      </w:pPr>
      <w:r>
        <w:rPr>
          <w:rFonts w:hint="eastAsia" w:ascii="仿宋_GB2312" w:hAnsi="仿宋" w:eastAsia="仿宋_GB2312"/>
          <w:sz w:val="32"/>
          <w:lang w:eastAsia="zh-CN"/>
        </w:rPr>
        <w:t>乡村产业用地应尊重山水林田湖草等自然要素与地形地貌特征，结合休闲、游憩、生产、加工、物流等实际功能需求，灵活采用点状、带状等布局模式。</w:t>
      </w:r>
    </w:p>
    <w:p w14:paraId="28E57F9B">
      <w:pPr>
        <w:autoSpaceDE w:val="0"/>
        <w:autoSpaceDN w:val="0"/>
        <w:spacing w:before="258" w:after="0" w:line="318" w:lineRule="exact"/>
        <w:ind w:left="788"/>
        <w:rPr>
          <w:rFonts w:ascii="仿宋_GB2312" w:hAnsi="仿宋" w:eastAsia="仿宋_GB2312"/>
          <w:lang w:eastAsia="zh-CN"/>
        </w:rPr>
      </w:pPr>
      <w:r>
        <w:rPr>
          <w:rFonts w:hint="eastAsia" w:ascii="仿宋_GB2312" w:hAnsi="仿宋" w:eastAsia="仿宋_GB2312"/>
          <w:sz w:val="32"/>
          <w:lang w:eastAsia="zh-CN"/>
        </w:rPr>
        <w:t>（二）乡村产业用地管控要求</w:t>
      </w:r>
    </w:p>
    <w:p w14:paraId="075D1DFA">
      <w:pPr>
        <w:autoSpaceDE w:val="0"/>
        <w:autoSpaceDN w:val="0"/>
        <w:spacing w:after="0" w:line="576" w:lineRule="exact"/>
        <w:ind w:left="146" w:right="180" w:firstLine="642"/>
        <w:jc w:val="both"/>
        <w:rPr>
          <w:rFonts w:ascii="仿宋_GB2312" w:hAnsi="仿宋" w:eastAsia="仿宋_GB2312"/>
          <w:lang w:eastAsia="zh-CN"/>
        </w:rPr>
      </w:pPr>
      <w:r>
        <w:rPr>
          <w:rFonts w:hint="eastAsia" w:ascii="仿宋_GB2312" w:hAnsi="仿宋" w:eastAsia="仿宋_GB2312"/>
          <w:sz w:val="32"/>
          <w:lang w:eastAsia="zh-CN"/>
        </w:rPr>
        <w:t>鼓励利用存量的建设用地发展农产品初加工、冷链仓储、直销配送、休闲观光旅游必需的配套设施等。优先在存量工业用地、物流仓储用地发展乡村产业。</w:t>
      </w:r>
    </w:p>
    <w:p w14:paraId="16AAEC73">
      <w:pPr>
        <w:tabs>
          <w:tab w:val="left" w:pos="788"/>
        </w:tabs>
        <w:autoSpaceDE w:val="0"/>
        <w:autoSpaceDN w:val="0"/>
        <w:spacing w:after="0" w:line="576" w:lineRule="exact"/>
        <w:ind w:right="144" w:firstLine="640" w:firstLineChars="200"/>
        <w:jc w:val="both"/>
        <w:rPr>
          <w:rFonts w:ascii="仿宋_GB2312" w:hAnsi="仿宋_GB2312" w:eastAsia="仿宋_GB2312"/>
          <w:sz w:val="32"/>
          <w:lang w:eastAsia="zh-CN"/>
        </w:rPr>
      </w:pPr>
      <w:r>
        <w:rPr>
          <w:rFonts w:ascii="仿宋_GB2312" w:hAnsi="仿宋_GB2312" w:eastAsia="仿宋_GB2312"/>
          <w:sz w:val="32"/>
          <w:lang w:eastAsia="zh-CN"/>
        </w:rPr>
        <w:t>乡村产业融合发展用地不得用于商品住宅、别墅、公寓等房地产开发。乡村产业项目应按照经审查通过的建设工程设计方案实施，具体产业项目方案由相关产业主管部门负责审查。村庄企业建筑须满足安全退距要求，且不影响周边村宅建筑的通风与采光需求，同时应符合消防规范的各项规定。</w:t>
      </w:r>
    </w:p>
    <w:p w14:paraId="3EF959FA">
      <w:pPr>
        <w:spacing w:after="0" w:line="240" w:lineRule="auto"/>
        <w:rPr>
          <w:rFonts w:ascii="黑体" w:hAnsi="黑体" w:eastAsia="黑体" w:cs="黑体"/>
          <w:b/>
          <w:bCs/>
          <w:sz w:val="32"/>
          <w:szCs w:val="32"/>
          <w:lang w:eastAsia="zh-CN"/>
        </w:rPr>
      </w:pPr>
      <w:r>
        <w:rPr>
          <w:rFonts w:hint="eastAsia" w:ascii="黑体" w:hAnsi="黑体" w:eastAsia="黑体" w:cs="黑体"/>
          <w:sz w:val="32"/>
          <w:szCs w:val="32"/>
          <w:lang w:eastAsia="zh-CN"/>
        </w:rPr>
        <w:br w:type="page"/>
      </w:r>
    </w:p>
    <w:p w14:paraId="7943F2BC">
      <w:pPr>
        <w:pStyle w:val="3"/>
        <w:jc w:val="center"/>
        <w:rPr>
          <w:rStyle w:val="143"/>
          <w:rFonts w:ascii="黑体" w:hAnsi="黑体" w:eastAsia="黑体" w:cs="黑体"/>
          <w:b/>
          <w:bCs/>
          <w:color w:val="auto"/>
          <w:sz w:val="32"/>
          <w:szCs w:val="32"/>
          <w:lang w:eastAsia="zh-CN"/>
        </w:rPr>
      </w:pPr>
      <w:bookmarkStart w:id="29" w:name="_Toc239953175"/>
      <w:r>
        <w:rPr>
          <w:rFonts w:hint="eastAsia" w:ascii="黑体" w:hAnsi="黑体" w:eastAsia="黑体" w:cs="黑体"/>
          <w:color w:val="auto"/>
          <w:sz w:val="32"/>
          <w:szCs w:val="32"/>
          <w:lang w:eastAsia="zh-CN"/>
        </w:rPr>
        <w:t xml:space="preserve">第五章  </w:t>
      </w:r>
      <w:r>
        <w:rPr>
          <w:rStyle w:val="143"/>
          <w:rFonts w:hint="eastAsia" w:ascii="黑体" w:hAnsi="黑体" w:eastAsia="黑体" w:cs="黑体"/>
          <w:b/>
          <w:bCs/>
          <w:color w:val="auto"/>
          <w:sz w:val="32"/>
          <w:szCs w:val="32"/>
          <w:lang w:eastAsia="zh-CN"/>
        </w:rPr>
        <w:t>其他管控指引</w:t>
      </w:r>
      <w:bookmarkEnd w:id="29"/>
    </w:p>
    <w:p w14:paraId="3EC41A9F">
      <w:pPr>
        <w:pStyle w:val="4"/>
        <w:jc w:val="center"/>
        <w:rPr>
          <w:color w:val="auto"/>
          <w:lang w:eastAsia="zh-CN"/>
        </w:rPr>
      </w:pPr>
      <w:bookmarkStart w:id="30" w:name="_Toc239953176"/>
      <w:r>
        <w:rPr>
          <w:rFonts w:hint="eastAsia" w:ascii="楷体" w:hAnsi="楷体" w:eastAsia="楷体" w:cs="楷体"/>
          <w:bCs w:val="0"/>
          <w:color w:val="auto"/>
          <w:sz w:val="32"/>
          <w:lang w:eastAsia="zh-CN"/>
        </w:rPr>
        <w:t>第一节  土地使用控制</w:t>
      </w:r>
      <w:bookmarkEnd w:id="30"/>
    </w:p>
    <w:p w14:paraId="043E1736">
      <w:pPr>
        <w:pStyle w:val="5"/>
        <w:rPr>
          <w:color w:val="auto"/>
        </w:rPr>
      </w:pPr>
      <w:r>
        <w:rPr>
          <w:rFonts w:hint="eastAsia"/>
          <w:color w:val="auto"/>
        </w:rPr>
        <w:t>用地弹性</w:t>
      </w:r>
      <w:r>
        <w:rPr>
          <w:color w:val="auto"/>
        </w:rPr>
        <w:t>控制</w:t>
      </w:r>
      <w:r>
        <w:rPr>
          <w:color w:val="auto"/>
        </w:rPr>
        <w:tab/>
      </w:r>
    </w:p>
    <w:p w14:paraId="5D0D371A">
      <w:pPr>
        <w:tabs>
          <w:tab w:val="left" w:pos="788"/>
        </w:tabs>
        <w:autoSpaceDE w:val="0"/>
        <w:autoSpaceDN w:val="0"/>
        <w:spacing w:after="0" w:line="576" w:lineRule="exact"/>
        <w:ind w:right="144"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在满足安全、环境等要求和相关标准、规范前提下，支持符合以下情形的土地混合使用和用地性质变更转换：</w:t>
      </w:r>
    </w:p>
    <w:p w14:paraId="5F07BB08">
      <w:pPr>
        <w:tabs>
          <w:tab w:val="left" w:pos="788"/>
        </w:tabs>
        <w:autoSpaceDE w:val="0"/>
        <w:autoSpaceDN w:val="0"/>
        <w:spacing w:after="0" w:line="576" w:lineRule="exact"/>
        <w:ind w:right="144"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（一）乡村居住用地根据需要变更转换为其他村庄建设用地性质。</w:t>
      </w:r>
    </w:p>
    <w:p w14:paraId="469F12E6">
      <w:pPr>
        <w:tabs>
          <w:tab w:val="left" w:pos="788"/>
        </w:tabs>
        <w:autoSpaceDE w:val="0"/>
        <w:autoSpaceDN w:val="0"/>
        <w:spacing w:after="0" w:line="576" w:lineRule="exact"/>
        <w:ind w:right="144"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（二）符合公共利益需求的前提下，允许乡村公共设施项目用地之间相互混合使用或用地性质变更转换，允许乡村产业项目用地混合或变更转换为乡村公共设施项目用地。</w:t>
      </w:r>
    </w:p>
    <w:p w14:paraId="5FA4D818">
      <w:pPr>
        <w:tabs>
          <w:tab w:val="left" w:pos="788"/>
        </w:tabs>
        <w:autoSpaceDE w:val="0"/>
        <w:autoSpaceDN w:val="0"/>
        <w:spacing w:after="0" w:line="576" w:lineRule="exact"/>
        <w:ind w:right="144" w:firstLine="640" w:firstLineChars="200"/>
        <w:jc w:val="both"/>
        <w:rPr>
          <w:rFonts w:ascii="仿宋_GB2312" w:hAnsi="仿宋" w:eastAsia="仿宋_GB2312"/>
          <w:lang w:eastAsia="zh-CN"/>
        </w:rPr>
      </w:pPr>
      <w:r>
        <w:rPr>
          <w:rFonts w:hint="eastAsia" w:ascii="仿宋_GB2312" w:hAnsi="仿宋" w:eastAsia="仿宋_GB2312"/>
          <w:sz w:val="32"/>
          <w:lang w:eastAsia="zh-CN"/>
        </w:rPr>
        <w:t>（三）符合相关产业政策的前提下，允许乡村产业项目用地之间相互混合使用或用地性质变更转换。</w:t>
      </w:r>
    </w:p>
    <w:p w14:paraId="5203090E">
      <w:pPr>
        <w:pStyle w:val="5"/>
        <w:rPr>
          <w:color w:val="auto"/>
        </w:rPr>
      </w:pPr>
      <w:bookmarkStart w:id="31" w:name="_Hlk235194495"/>
      <w:r>
        <w:rPr>
          <w:color w:val="auto"/>
        </w:rPr>
        <w:t>建筑高度控制</w:t>
      </w:r>
    </w:p>
    <w:bookmarkEnd w:id="31"/>
    <w:p w14:paraId="597F2CFC">
      <w:pPr>
        <w:tabs>
          <w:tab w:val="left" w:pos="788"/>
        </w:tabs>
        <w:autoSpaceDE w:val="0"/>
        <w:autoSpaceDN w:val="0"/>
        <w:spacing w:after="0" w:line="576" w:lineRule="exact"/>
        <w:ind w:right="144"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农村村民建房的建筑层数原则上不应超过三层；农村社区服务设施用地和商业用地的建筑高度宜控制在</w:t>
      </w:r>
      <w:r>
        <w:rPr>
          <w:rFonts w:ascii="仿宋_GB2312" w:hAnsi="仿宋_GB2312" w:eastAsia="仿宋_GB2312"/>
          <w:sz w:val="32"/>
          <w:lang w:eastAsia="zh-CN"/>
        </w:rPr>
        <w:t>18</w:t>
      </w:r>
      <w:r>
        <w:rPr>
          <w:rFonts w:hint="eastAsia" w:ascii="仿宋_GB2312" w:hAnsi="仿宋_GB2312" w:eastAsia="仿宋_GB2312"/>
          <w:sz w:val="32"/>
          <w:lang w:eastAsia="zh-CN"/>
        </w:rPr>
        <w:t>米以内；公共管理与公共服务用地、特殊用地的建筑高度原则上不超过</w:t>
      </w:r>
      <w:r>
        <w:rPr>
          <w:rFonts w:ascii="仿宋_GB2312" w:hAnsi="仿宋_GB2312" w:eastAsia="仿宋_GB2312"/>
          <w:sz w:val="32"/>
          <w:lang w:eastAsia="zh-CN"/>
        </w:rPr>
        <w:t>24</w:t>
      </w:r>
      <w:r>
        <w:rPr>
          <w:rFonts w:hint="eastAsia" w:ascii="仿宋_GB2312" w:hAnsi="仿宋_GB2312" w:eastAsia="仿宋_GB2312"/>
          <w:sz w:val="32"/>
          <w:lang w:eastAsia="zh-CN"/>
        </w:rPr>
        <w:t>米，其中幼儿园和小学的教学建筑还应同时满足相关规范要求；工业用地、物流仓储用地的建筑高度原则上不超过24米；交通场站用地、公用设施用地按相关专业规范进行控制；绿地与开敞空间用地内的服务性建筑高度不应超过</w:t>
      </w:r>
      <w:r>
        <w:rPr>
          <w:rFonts w:ascii="仿宋_GB2312" w:hAnsi="仿宋_GB2312" w:eastAsia="仿宋_GB2312"/>
          <w:sz w:val="32"/>
          <w:lang w:eastAsia="zh-CN"/>
        </w:rPr>
        <w:t>12</w:t>
      </w:r>
      <w:r>
        <w:rPr>
          <w:rFonts w:hint="eastAsia" w:ascii="仿宋_GB2312" w:hAnsi="仿宋_GB2312" w:eastAsia="仿宋_GB2312"/>
          <w:sz w:val="32"/>
          <w:lang w:eastAsia="zh-CN"/>
        </w:rPr>
        <w:t>米。确需提高建筑高度控制标准的应当</w:t>
      </w:r>
      <w:bookmarkStart w:id="32" w:name="_Hlk235194516"/>
      <w:r>
        <w:rPr>
          <w:rFonts w:hint="eastAsia" w:ascii="仿宋_GB2312" w:hAnsi="仿宋_GB2312" w:eastAsia="仿宋_GB2312"/>
          <w:sz w:val="32"/>
          <w:lang w:eastAsia="zh-CN"/>
        </w:rPr>
        <w:t>参照相关行业建设标准</w:t>
      </w:r>
      <w:bookmarkEnd w:id="32"/>
      <w:r>
        <w:rPr>
          <w:rFonts w:hint="eastAsia" w:ascii="仿宋_GB2312" w:hAnsi="仿宋_GB2312" w:eastAsia="仿宋_GB2312"/>
          <w:sz w:val="32"/>
          <w:lang w:eastAsia="zh-CN"/>
        </w:rPr>
        <w:t>进一步论证。</w:t>
      </w:r>
    </w:p>
    <w:p w14:paraId="180D4F1B">
      <w:pPr>
        <w:pStyle w:val="5"/>
        <w:rPr>
          <w:color w:val="auto"/>
        </w:rPr>
      </w:pPr>
      <w:r>
        <w:rPr>
          <w:color w:val="auto"/>
        </w:rPr>
        <w:t>建筑</w:t>
      </w:r>
      <w:r>
        <w:rPr>
          <w:rFonts w:hint="eastAsia"/>
          <w:color w:val="auto"/>
        </w:rPr>
        <w:t>密度</w:t>
      </w:r>
      <w:r>
        <w:rPr>
          <w:color w:val="auto"/>
        </w:rPr>
        <w:t>控制</w:t>
      </w:r>
    </w:p>
    <w:p w14:paraId="3BCAC367">
      <w:pPr>
        <w:tabs>
          <w:tab w:val="left" w:pos="788"/>
        </w:tabs>
        <w:autoSpaceDE w:val="0"/>
        <w:autoSpaceDN w:val="0"/>
        <w:spacing w:after="0" w:line="576" w:lineRule="exact"/>
        <w:ind w:right="144"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单宗独户或单宗联排的农村村民建房，建筑密度不应低于</w:t>
      </w:r>
      <w:r>
        <w:rPr>
          <w:rFonts w:ascii="仿宋_GB2312" w:hAnsi="仿宋_GB2312" w:eastAsia="仿宋_GB2312"/>
          <w:sz w:val="32"/>
          <w:lang w:eastAsia="zh-CN"/>
        </w:rPr>
        <w:t>30%</w:t>
      </w:r>
      <w:r>
        <w:rPr>
          <w:rFonts w:hint="eastAsia" w:ascii="仿宋_GB2312" w:hAnsi="仿宋_GB2312" w:eastAsia="仿宋_GB2312"/>
          <w:sz w:val="32"/>
          <w:lang w:eastAsia="zh-CN"/>
        </w:rPr>
        <w:t>；统一规划新建或整体翻建的农村居民点，建筑密度宜控制在</w:t>
      </w:r>
      <w:r>
        <w:rPr>
          <w:rFonts w:ascii="仿宋_GB2312" w:hAnsi="仿宋_GB2312" w:eastAsia="仿宋_GB2312"/>
          <w:sz w:val="32"/>
          <w:lang w:eastAsia="zh-CN"/>
        </w:rPr>
        <w:t>40%</w:t>
      </w:r>
      <w:r>
        <w:rPr>
          <w:rFonts w:hint="eastAsia" w:ascii="仿宋_GB2312" w:hAnsi="仿宋_GB2312" w:eastAsia="仿宋_GB2312"/>
          <w:sz w:val="32"/>
          <w:lang w:eastAsia="zh-CN"/>
        </w:rPr>
        <w:t>以内；农村社区服务设施用地、公共管理与公共服务用地的建筑密度一般应控制在</w:t>
      </w:r>
      <w:r>
        <w:rPr>
          <w:rFonts w:ascii="仿宋_GB2312" w:hAnsi="仿宋_GB2312" w:eastAsia="仿宋_GB2312"/>
          <w:sz w:val="32"/>
          <w:lang w:eastAsia="zh-CN"/>
        </w:rPr>
        <w:t>60%</w:t>
      </w:r>
      <w:r>
        <w:rPr>
          <w:rFonts w:hint="eastAsia" w:ascii="仿宋_GB2312" w:hAnsi="仿宋_GB2312" w:eastAsia="仿宋_GB2312"/>
          <w:sz w:val="32"/>
          <w:lang w:eastAsia="zh-CN"/>
        </w:rPr>
        <w:t>以内；工业用地和物流仓储用地的建筑系数应不小于4</w:t>
      </w:r>
      <w:r>
        <w:rPr>
          <w:rFonts w:ascii="仿宋_GB2312" w:hAnsi="仿宋_GB2312" w:eastAsia="仿宋_GB2312"/>
          <w:sz w:val="32"/>
          <w:lang w:eastAsia="zh-CN"/>
        </w:rPr>
        <w:t>0%</w:t>
      </w:r>
      <w:r>
        <w:rPr>
          <w:rFonts w:hint="eastAsia" w:ascii="仿宋_GB2312" w:hAnsi="仿宋_GB2312" w:eastAsia="仿宋_GB2312"/>
          <w:sz w:val="32"/>
          <w:lang w:eastAsia="zh-CN"/>
        </w:rPr>
        <w:t>；交通场站用地、公用设施用地按相关专业规范进行控制；绿地与开敞空间用地的建筑密度一般应控制在</w:t>
      </w:r>
      <w:r>
        <w:rPr>
          <w:rFonts w:ascii="仿宋_GB2312" w:hAnsi="仿宋_GB2312" w:eastAsia="仿宋_GB2312"/>
          <w:sz w:val="32"/>
          <w:lang w:eastAsia="zh-CN"/>
        </w:rPr>
        <w:t>5%</w:t>
      </w:r>
      <w:r>
        <w:rPr>
          <w:rFonts w:hint="eastAsia" w:ascii="仿宋_GB2312" w:hAnsi="仿宋_GB2312" w:eastAsia="仿宋_GB2312"/>
          <w:sz w:val="32"/>
          <w:lang w:eastAsia="zh-CN"/>
        </w:rPr>
        <w:t>以内，受地形及场地限制，单个绿地与开敞空间用地面积不足</w:t>
      </w:r>
      <w:r>
        <w:rPr>
          <w:rFonts w:ascii="仿宋_GB2312" w:hAnsi="仿宋_GB2312" w:eastAsia="仿宋_GB2312"/>
          <w:sz w:val="32"/>
          <w:lang w:eastAsia="zh-CN"/>
        </w:rPr>
        <w:t>2000</w:t>
      </w:r>
      <w:r>
        <w:rPr>
          <w:rFonts w:hint="eastAsia" w:ascii="仿宋_GB2312" w:hAnsi="仿宋_GB2312" w:eastAsia="仿宋_GB2312"/>
          <w:sz w:val="32"/>
          <w:lang w:eastAsia="zh-CN"/>
        </w:rPr>
        <w:t>平方米的，建筑基底面积应控制在</w:t>
      </w:r>
      <w:r>
        <w:rPr>
          <w:rFonts w:ascii="仿宋_GB2312" w:hAnsi="仿宋_GB2312" w:eastAsia="仿宋_GB2312"/>
          <w:sz w:val="32"/>
          <w:lang w:eastAsia="zh-CN"/>
        </w:rPr>
        <w:t>100</w:t>
      </w:r>
      <w:r>
        <w:rPr>
          <w:rFonts w:hint="eastAsia" w:ascii="仿宋_GB2312" w:hAnsi="仿宋_GB2312" w:eastAsia="仿宋_GB2312"/>
          <w:sz w:val="32"/>
          <w:lang w:eastAsia="zh-CN"/>
        </w:rPr>
        <w:t>平方米以内，且建筑密度不应超过</w:t>
      </w:r>
      <w:r>
        <w:rPr>
          <w:rFonts w:ascii="仿宋_GB2312" w:hAnsi="仿宋_GB2312" w:eastAsia="仿宋_GB2312"/>
          <w:sz w:val="32"/>
          <w:lang w:eastAsia="zh-CN"/>
        </w:rPr>
        <w:t>20%</w:t>
      </w:r>
      <w:r>
        <w:rPr>
          <w:rFonts w:hint="eastAsia" w:ascii="仿宋_GB2312" w:hAnsi="仿宋_GB2312" w:eastAsia="仿宋_GB2312"/>
          <w:sz w:val="32"/>
          <w:lang w:eastAsia="zh-CN"/>
        </w:rPr>
        <w:t>。</w:t>
      </w:r>
    </w:p>
    <w:p w14:paraId="6BB22272">
      <w:pPr>
        <w:pStyle w:val="5"/>
        <w:rPr>
          <w:color w:val="auto"/>
        </w:rPr>
      </w:pPr>
      <w:r>
        <w:rPr>
          <w:rFonts w:hint="eastAsia"/>
          <w:color w:val="auto"/>
        </w:rPr>
        <w:t>容积率控制</w:t>
      </w:r>
    </w:p>
    <w:p w14:paraId="33074F2A">
      <w:pPr>
        <w:tabs>
          <w:tab w:val="left" w:pos="788"/>
        </w:tabs>
        <w:autoSpaceDE w:val="0"/>
        <w:autoSpaceDN w:val="0"/>
        <w:spacing w:after="0" w:line="576" w:lineRule="exact"/>
        <w:ind w:right="144"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集中农村宅基地容积率应控制在1.5以内；农村社区服务设施用地及公共管理与公共服务用地控制在1.5以内，商业用地容积率结合服务功能设定，一般不超过1.5；工业用地容积率应不小于1.0；物流仓储用地容积率应不小于1.0；其他用地容积率按相关专业规范进行控制。</w:t>
      </w:r>
    </w:p>
    <w:p w14:paraId="7EEDA3A6">
      <w:pPr>
        <w:pStyle w:val="5"/>
        <w:rPr>
          <w:color w:val="auto"/>
        </w:rPr>
      </w:pPr>
      <w:r>
        <w:rPr>
          <w:color w:val="auto"/>
        </w:rPr>
        <w:t>建筑间距控制</w:t>
      </w:r>
    </w:p>
    <w:p w14:paraId="7DAC0AEA">
      <w:pPr>
        <w:tabs>
          <w:tab w:val="left" w:pos="788"/>
        </w:tabs>
        <w:autoSpaceDE w:val="0"/>
        <w:autoSpaceDN w:val="0"/>
        <w:spacing w:after="0" w:line="576" w:lineRule="exact"/>
        <w:ind w:right="144" w:firstLine="640" w:firstLineChars="200"/>
        <w:jc w:val="both"/>
        <w:rPr>
          <w:rFonts w:ascii="仿宋_GB2312" w:hAnsi="仿宋" w:eastAsia="仿宋_GB2312"/>
          <w:lang w:eastAsia="zh-CN"/>
        </w:rPr>
      </w:pPr>
      <w:r>
        <w:rPr>
          <w:rFonts w:hint="eastAsia" w:ascii="仿宋_GB2312" w:hAnsi="仿宋" w:eastAsia="仿宋_GB2312"/>
          <w:sz w:val="32"/>
          <w:lang w:eastAsia="zh-CN"/>
        </w:rPr>
        <w:t>相邻建筑间距应满足</w:t>
      </w:r>
      <w:bookmarkStart w:id="33" w:name="_Hlk235651590"/>
      <w:r>
        <w:rPr>
          <w:rFonts w:hint="eastAsia" w:ascii="仿宋_GB2312" w:hAnsi="仿宋" w:eastAsia="仿宋_GB2312"/>
          <w:sz w:val="32"/>
          <w:lang w:eastAsia="zh-CN"/>
        </w:rPr>
        <w:t>《农村防火规范》（GB50039—2010）</w:t>
      </w:r>
      <w:bookmarkEnd w:id="33"/>
      <w:r>
        <w:rPr>
          <w:rFonts w:hint="eastAsia" w:ascii="仿宋_GB2312" w:hAnsi="仿宋" w:eastAsia="仿宋_GB2312"/>
          <w:sz w:val="32"/>
          <w:lang w:eastAsia="zh-CN"/>
        </w:rPr>
        <w:t>、</w:t>
      </w:r>
      <w:bookmarkStart w:id="34" w:name="_Hlk235651659"/>
      <w:r>
        <w:rPr>
          <w:rFonts w:hint="eastAsia" w:ascii="仿宋_GB2312" w:hAnsi="仿宋" w:eastAsia="仿宋_GB2312"/>
          <w:sz w:val="32"/>
          <w:lang w:eastAsia="zh-CN"/>
        </w:rPr>
        <w:t>《建筑设计防火规范》（GB50016—2014，2018年版）及《建筑防火通用规范》（GB55037—2022）</w:t>
      </w:r>
      <w:bookmarkEnd w:id="34"/>
      <w:r>
        <w:rPr>
          <w:rFonts w:hint="eastAsia" w:ascii="仿宋_GB2312" w:hAnsi="仿宋" w:eastAsia="仿宋_GB2312"/>
          <w:sz w:val="32"/>
          <w:lang w:eastAsia="zh-CN"/>
        </w:rPr>
        <w:t>等相关标准要求，并符合日照、采光、通风、消防、管线敷设和抗震等方面的规定。改造更新项目不超过原地块边界，且不增加原建筑面积、建筑高度，未妨害相邻权的，可按现状建筑间距控制执行。</w:t>
      </w:r>
    </w:p>
    <w:p w14:paraId="4C2BBDB3">
      <w:pPr>
        <w:pStyle w:val="5"/>
        <w:rPr>
          <w:color w:val="auto"/>
        </w:rPr>
      </w:pPr>
      <w:r>
        <w:rPr>
          <w:color w:val="auto"/>
        </w:rPr>
        <w:t>建筑退距控制</w:t>
      </w:r>
    </w:p>
    <w:p w14:paraId="45195E42">
      <w:pPr>
        <w:tabs>
          <w:tab w:val="left" w:pos="788"/>
        </w:tabs>
        <w:autoSpaceDE w:val="0"/>
        <w:autoSpaceDN w:val="0"/>
        <w:spacing w:after="0" w:line="576" w:lineRule="exact"/>
        <w:ind w:right="144" w:firstLine="640" w:firstLineChars="200"/>
        <w:jc w:val="both"/>
        <w:rPr>
          <w:rFonts w:ascii="仿宋_GB2312" w:hAnsi="仿宋" w:eastAsia="仿宋_GB2312"/>
          <w:sz w:val="32"/>
          <w:lang w:eastAsia="zh-CN"/>
        </w:rPr>
      </w:pPr>
      <w:r>
        <w:rPr>
          <w:rFonts w:hint="eastAsia" w:ascii="仿宋_GB2312" w:hAnsi="仿宋" w:eastAsia="仿宋_GB2312"/>
          <w:sz w:val="32"/>
          <w:lang w:eastAsia="zh-CN"/>
        </w:rPr>
        <w:t>城乡道路沿线两侧严格控制个人建造住宅，确需批准建设的，遵循《公路安全保护条例》要求，拟建房屋与道路规划红线的距离为：国道不少于</w:t>
      </w:r>
      <w:r>
        <w:rPr>
          <w:rFonts w:ascii="仿宋_GB2312" w:hAnsi="仿宋" w:eastAsia="仿宋_GB2312"/>
          <w:sz w:val="32"/>
          <w:lang w:eastAsia="zh-CN"/>
        </w:rPr>
        <w:t>20</w:t>
      </w:r>
      <w:r>
        <w:rPr>
          <w:rFonts w:hint="eastAsia" w:ascii="仿宋_GB2312" w:hAnsi="仿宋" w:eastAsia="仿宋_GB2312"/>
          <w:sz w:val="32"/>
          <w:lang w:eastAsia="zh-CN"/>
        </w:rPr>
        <w:t>米，省道不少于</w:t>
      </w:r>
      <w:r>
        <w:rPr>
          <w:rFonts w:ascii="仿宋_GB2312" w:hAnsi="仿宋" w:eastAsia="仿宋_GB2312"/>
          <w:sz w:val="32"/>
          <w:lang w:eastAsia="zh-CN"/>
        </w:rPr>
        <w:t>15</w:t>
      </w:r>
      <w:r>
        <w:rPr>
          <w:rFonts w:hint="eastAsia" w:ascii="仿宋_GB2312" w:hAnsi="仿宋" w:eastAsia="仿宋_GB2312"/>
          <w:sz w:val="32"/>
          <w:lang w:eastAsia="zh-CN"/>
        </w:rPr>
        <w:t>米，县道不少于</w:t>
      </w:r>
      <w:r>
        <w:rPr>
          <w:rFonts w:ascii="仿宋_GB2312" w:hAnsi="仿宋" w:eastAsia="仿宋_GB2312"/>
          <w:sz w:val="32"/>
          <w:lang w:eastAsia="zh-CN"/>
        </w:rPr>
        <w:t>10</w:t>
      </w:r>
      <w:r>
        <w:rPr>
          <w:rFonts w:hint="eastAsia" w:ascii="仿宋_GB2312" w:hAnsi="仿宋" w:eastAsia="仿宋_GB2312"/>
          <w:sz w:val="32"/>
          <w:lang w:eastAsia="zh-CN"/>
        </w:rPr>
        <w:t>米，乡道不少于</w:t>
      </w:r>
      <w:r>
        <w:rPr>
          <w:rFonts w:ascii="仿宋_GB2312" w:hAnsi="仿宋" w:eastAsia="仿宋_GB2312"/>
          <w:sz w:val="32"/>
          <w:lang w:eastAsia="zh-CN"/>
        </w:rPr>
        <w:t>5</w:t>
      </w:r>
      <w:r>
        <w:rPr>
          <w:rFonts w:hint="eastAsia" w:ascii="仿宋_GB2312" w:hAnsi="仿宋" w:eastAsia="仿宋_GB2312"/>
          <w:sz w:val="32"/>
          <w:lang w:eastAsia="zh-CN"/>
        </w:rPr>
        <w:t>米。属于高速公路的，公路建筑控制区的范围从公路用地外缘起向外的距离标准不少于</w:t>
      </w:r>
      <w:r>
        <w:rPr>
          <w:rFonts w:ascii="仿宋_GB2312" w:hAnsi="仿宋" w:eastAsia="仿宋_GB2312"/>
          <w:sz w:val="32"/>
          <w:lang w:eastAsia="zh-CN"/>
        </w:rPr>
        <w:t>30</w:t>
      </w:r>
      <w:r>
        <w:rPr>
          <w:rFonts w:hint="eastAsia" w:ascii="仿宋_GB2312" w:hAnsi="仿宋" w:eastAsia="仿宋_GB2312"/>
          <w:sz w:val="32"/>
          <w:lang w:eastAsia="zh-CN"/>
        </w:rPr>
        <w:t>米。公路弯道内侧、互通立交以及平面交叉道口的建筑控制区范围根据安全视距等要求确定。</w:t>
      </w:r>
    </w:p>
    <w:p w14:paraId="7941E8D5">
      <w:pPr>
        <w:pStyle w:val="4"/>
        <w:jc w:val="center"/>
        <w:rPr>
          <w:color w:val="auto"/>
          <w:lang w:eastAsia="zh-CN"/>
        </w:rPr>
      </w:pPr>
      <w:bookmarkStart w:id="35" w:name="_Toc239953177"/>
      <w:r>
        <w:rPr>
          <w:rFonts w:hint="eastAsia" w:ascii="楷体" w:hAnsi="楷体" w:eastAsia="楷体" w:cs="楷体"/>
          <w:color w:val="auto"/>
          <w:sz w:val="32"/>
          <w:szCs w:val="32"/>
          <w:lang w:eastAsia="zh-CN"/>
        </w:rPr>
        <w:t>第二节  建筑风貌管控指引</w:t>
      </w:r>
      <w:bookmarkEnd w:id="35"/>
    </w:p>
    <w:p w14:paraId="708E31EE">
      <w:pPr>
        <w:pStyle w:val="5"/>
        <w:rPr>
          <w:color w:val="auto"/>
        </w:rPr>
      </w:pPr>
      <w:r>
        <w:rPr>
          <w:color w:val="auto"/>
        </w:rPr>
        <w:t>建筑</w:t>
      </w:r>
      <w:r>
        <w:rPr>
          <w:rFonts w:hint="eastAsia"/>
          <w:color w:val="auto"/>
        </w:rPr>
        <w:t>样式</w:t>
      </w:r>
    </w:p>
    <w:p w14:paraId="1A1E6FB9">
      <w:pPr>
        <w:tabs>
          <w:tab w:val="left" w:pos="788"/>
        </w:tabs>
        <w:autoSpaceDE w:val="0"/>
        <w:autoSpaceDN w:val="0"/>
        <w:spacing w:after="0" w:line="576" w:lineRule="exact"/>
        <w:ind w:right="144" w:firstLine="640" w:firstLineChars="200"/>
        <w:jc w:val="both"/>
        <w:rPr>
          <w:rFonts w:ascii="仿宋_GB2312" w:hAnsi="仿宋" w:eastAsia="仿宋_GB2312"/>
          <w:lang w:eastAsia="zh-CN"/>
        </w:rPr>
      </w:pPr>
      <w:r>
        <w:rPr>
          <w:rFonts w:hint="eastAsia" w:ascii="仿宋_GB2312" w:hAnsi="仿宋" w:eastAsia="仿宋_GB2312"/>
          <w:sz w:val="32"/>
          <w:lang w:eastAsia="zh-CN"/>
        </w:rPr>
        <w:t>农村住房建筑原则上应采用荆楚风格或现代风格，荆楚风格农村住房宜采用硬山坡顶、槽门、墀头、灰瓦青砖（白墙）、栅格门窗、木石装饰、雕花纹饰等构成要素，传承鄂东地域文化，应结合周边山水格局，科学规划建筑房前屋后田林空间布局及室内功能分区；现代风格农村住房采用灰色瓦屋面、人字坡屋顶、玻璃金属门窗等构成要素，轮廓简约。新建建筑和建筑立面改造应与《鄂州市梁子湖区农村村民住房建设户型图集》相衔接，保护传统村落风貌与格局。</w:t>
      </w:r>
    </w:p>
    <w:p w14:paraId="500D9651">
      <w:pPr>
        <w:pStyle w:val="5"/>
        <w:rPr>
          <w:color w:val="auto"/>
        </w:rPr>
      </w:pPr>
      <w:r>
        <w:rPr>
          <w:color w:val="auto"/>
        </w:rPr>
        <w:t>建筑材质</w:t>
      </w:r>
    </w:p>
    <w:p w14:paraId="344C8994">
      <w:pPr>
        <w:tabs>
          <w:tab w:val="left" w:pos="788"/>
        </w:tabs>
        <w:autoSpaceDE w:val="0"/>
        <w:autoSpaceDN w:val="0"/>
        <w:spacing w:after="0" w:line="576" w:lineRule="exact"/>
        <w:ind w:right="144"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应根据实际情况就地取材，荆楚风格建筑宜选用本地竹、木材、石材、砖等乡土材料；现代风格建筑屋面以水泥瓦为主，墙体以砖石混凝土为主。鼓励通过老料新做、土料洋做、粗料细作、新旧搭配等方式延续乡村地域特色。鼓励利用绿色材料提升建筑节能水平。</w:t>
      </w:r>
    </w:p>
    <w:p w14:paraId="3148ABE8">
      <w:pPr>
        <w:pStyle w:val="5"/>
        <w:rPr>
          <w:color w:val="auto"/>
        </w:rPr>
      </w:pPr>
      <w:r>
        <w:rPr>
          <w:color w:val="auto"/>
        </w:rPr>
        <w:t>建筑</w:t>
      </w:r>
      <w:r>
        <w:rPr>
          <w:rFonts w:hint="eastAsia"/>
          <w:color w:val="auto"/>
        </w:rPr>
        <w:t>色彩</w:t>
      </w:r>
    </w:p>
    <w:p w14:paraId="4BF7A705">
      <w:pPr>
        <w:tabs>
          <w:tab w:val="left" w:pos="788"/>
        </w:tabs>
        <w:autoSpaceDE w:val="0"/>
        <w:autoSpaceDN w:val="0"/>
        <w:spacing w:after="0" w:line="576" w:lineRule="exact"/>
        <w:ind w:right="144" w:firstLine="640" w:firstLineChars="200"/>
        <w:jc w:val="both"/>
        <w:rPr>
          <w:rFonts w:ascii="仿宋_GB2312" w:hAnsi="仿宋" w:eastAsia="仿宋_GB2312"/>
          <w:lang w:eastAsia="zh-CN"/>
        </w:rPr>
      </w:pPr>
      <w:r>
        <w:rPr>
          <w:rFonts w:hint="eastAsia" w:ascii="仿宋_GB2312" w:hAnsi="仿宋" w:eastAsia="仿宋_GB2312"/>
          <w:sz w:val="32"/>
          <w:lang w:eastAsia="zh-CN"/>
        </w:rPr>
        <w:t>建筑色彩可参考鄂东传统建筑元素，避免突兀设计，确保与乡村建筑肌理、自然环境整体统一。荆楚风格建筑以灰、白、黑、淡黄等色调为主，点缀红色、棕色；现代风格建筑以白色、浅灰色、淡黄色为主，点缀深色构件。</w:t>
      </w:r>
    </w:p>
    <w:p w14:paraId="7746B8AC">
      <w:pPr>
        <w:pStyle w:val="4"/>
        <w:jc w:val="center"/>
        <w:rPr>
          <w:rStyle w:val="144"/>
          <w:rFonts w:ascii="楷体" w:hAnsi="楷体" w:eastAsia="楷体" w:cs="楷体"/>
          <w:b/>
          <w:bCs/>
          <w:color w:val="auto"/>
          <w:sz w:val="32"/>
          <w:szCs w:val="32"/>
          <w:lang w:eastAsia="zh-CN"/>
        </w:rPr>
      </w:pPr>
      <w:bookmarkStart w:id="36" w:name="_Toc239953178"/>
      <w:r>
        <w:rPr>
          <w:rFonts w:hint="eastAsia" w:ascii="楷体" w:hAnsi="楷体" w:eastAsia="楷体" w:cs="楷体"/>
          <w:color w:val="auto"/>
          <w:sz w:val="32"/>
          <w:szCs w:val="32"/>
          <w:lang w:eastAsia="zh-CN"/>
        </w:rPr>
        <w:t>第三节</w:t>
      </w:r>
      <w:r>
        <w:rPr>
          <w:rStyle w:val="144"/>
          <w:rFonts w:hint="eastAsia" w:ascii="楷体" w:hAnsi="楷体" w:eastAsia="楷体" w:cs="楷体"/>
          <w:b/>
          <w:bCs/>
          <w:color w:val="auto"/>
          <w:sz w:val="32"/>
          <w:szCs w:val="32"/>
          <w:lang w:eastAsia="zh-CN"/>
        </w:rPr>
        <w:t xml:space="preserve"> 人居环境整治</w:t>
      </w:r>
      <w:bookmarkEnd w:id="36"/>
    </w:p>
    <w:p w14:paraId="6F278A61">
      <w:pPr>
        <w:pStyle w:val="5"/>
        <w:rPr>
          <w:color w:val="auto"/>
        </w:rPr>
      </w:pPr>
      <w:r>
        <w:rPr>
          <w:color w:val="auto"/>
        </w:rPr>
        <w:t>农村厕所革命</w:t>
      </w:r>
    </w:p>
    <w:p w14:paraId="5AF49AA8">
      <w:pPr>
        <w:tabs>
          <w:tab w:val="left" w:pos="788"/>
        </w:tabs>
        <w:autoSpaceDE w:val="0"/>
        <w:autoSpaceDN w:val="0"/>
        <w:spacing w:after="0" w:line="576" w:lineRule="exact"/>
        <w:ind w:right="144"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农村户厕技术标准参照国家卫生健康委、农业农村部</w:t>
      </w:r>
      <w:bookmarkStart w:id="37" w:name="_Hlk235651756"/>
      <w:r>
        <w:rPr>
          <w:rFonts w:hint="eastAsia" w:ascii="仿宋_GB2312" w:hAnsi="仿宋_GB2312" w:eastAsia="仿宋_GB2312"/>
          <w:sz w:val="32"/>
          <w:lang w:eastAsia="zh-CN"/>
        </w:rPr>
        <w:t>《关于印发农村户厕建设技术要求（试行）的通知》（国卫办规划函〔2019〕667号）</w:t>
      </w:r>
      <w:bookmarkEnd w:id="37"/>
      <w:r>
        <w:rPr>
          <w:rFonts w:hint="eastAsia" w:ascii="仿宋_GB2312" w:hAnsi="仿宋_GB2312" w:eastAsia="仿宋_GB2312"/>
          <w:sz w:val="32"/>
          <w:lang w:eastAsia="zh-CN"/>
        </w:rPr>
        <w:t>，农村三格式户厕建设技术标准参照</w:t>
      </w:r>
      <w:bookmarkStart w:id="38" w:name="_Hlk235651776"/>
      <w:r>
        <w:rPr>
          <w:rFonts w:hint="eastAsia" w:ascii="仿宋_GB2312" w:hAnsi="仿宋_GB2312" w:eastAsia="仿宋_GB2312"/>
          <w:sz w:val="32"/>
          <w:lang w:eastAsia="zh-CN"/>
        </w:rPr>
        <w:t>《农村三格式户厕建设技术规范》（GB/T38836—2020）。农村公厕建设参照《农村公共厕所建设与管理规范》（GB/T38353—2019）</w:t>
      </w:r>
      <w:bookmarkEnd w:id="38"/>
      <w:r>
        <w:rPr>
          <w:rFonts w:hint="eastAsia" w:ascii="仿宋_GB2312" w:hAnsi="仿宋_GB2312" w:eastAsia="仿宋_GB2312"/>
          <w:sz w:val="32"/>
          <w:lang w:eastAsia="zh-CN"/>
        </w:rPr>
        <w:t>。</w:t>
      </w:r>
    </w:p>
    <w:p w14:paraId="74DDFCC3">
      <w:pPr>
        <w:tabs>
          <w:tab w:val="left" w:pos="788"/>
        </w:tabs>
        <w:autoSpaceDE w:val="0"/>
        <w:autoSpaceDN w:val="0"/>
        <w:spacing w:after="0" w:line="576" w:lineRule="exact"/>
        <w:ind w:right="144" w:firstLine="640" w:firstLineChars="200"/>
        <w:jc w:val="both"/>
        <w:rPr>
          <w:rFonts w:ascii="仿宋_GB2312" w:hAnsi="仿宋" w:eastAsia="仿宋_GB2312"/>
          <w:lang w:eastAsia="zh-CN"/>
        </w:rPr>
      </w:pPr>
      <w:r>
        <w:rPr>
          <w:rFonts w:hint="eastAsia" w:ascii="仿宋_GB2312" w:hAnsi="仿宋" w:eastAsia="仿宋_GB2312"/>
          <w:sz w:val="32"/>
          <w:lang w:eastAsia="zh-CN"/>
        </w:rPr>
        <w:t>新建住宅应配套无害化卫生厕所。户厕应选择独立的房间进行建设，与其他功能房间相独立，厕屋宜与厨房相互独立。缺水地区不具备上、下水设施的村庄，建议采用节水型脚踏式抽水冲便器，减少生活污水排放量。农村户厕应因地制宜，推广应用的卫生厕所无害化设施主要有三格化粪池式、三联式沼气池式两种。水冲式厕所排出的粪便污水应与通往污水处理设施的管网相连接。</w:t>
      </w:r>
    </w:p>
    <w:p w14:paraId="0336CDF6">
      <w:pPr>
        <w:pStyle w:val="5"/>
        <w:rPr>
          <w:color w:val="auto"/>
        </w:rPr>
      </w:pPr>
      <w:r>
        <w:rPr>
          <w:color w:val="auto"/>
        </w:rPr>
        <w:t>农村生活垃圾治理</w:t>
      </w:r>
      <w:r>
        <w:rPr>
          <w:color w:val="auto"/>
        </w:rPr>
        <w:tab/>
      </w:r>
    </w:p>
    <w:p w14:paraId="6888196D">
      <w:pPr>
        <w:tabs>
          <w:tab w:val="left" w:pos="788"/>
        </w:tabs>
        <w:autoSpaceDE w:val="0"/>
        <w:autoSpaceDN w:val="0"/>
        <w:spacing w:after="0" w:line="576" w:lineRule="exact"/>
        <w:ind w:right="144" w:firstLine="640" w:firstLineChars="200"/>
        <w:jc w:val="both"/>
        <w:rPr>
          <w:rFonts w:ascii="仿宋_GB2312" w:hAnsi="仿宋" w:eastAsia="仿宋_GB2312"/>
          <w:lang w:eastAsia="zh-CN"/>
        </w:rPr>
      </w:pPr>
      <w:r>
        <w:rPr>
          <w:rFonts w:hint="eastAsia" w:ascii="仿宋_GB2312" w:hAnsi="仿宋" w:eastAsia="仿宋_GB2312"/>
          <w:sz w:val="32"/>
          <w:lang w:eastAsia="zh-CN"/>
        </w:rPr>
        <w:t>在每个乡村设置垃圾分类投放点，分别收集可回收物、有害垃圾、厨余垃圾和其他垃圾。建立“户分类、村收集、镇转运、市处理”的垃圾处理模式。每个村配备垃圾收集车，定期将垃圾收集至镇垃圾转运站，再由转运站统一运送至垃圾焚烧发电厂或填埋场进行处理。加强对转运过程的监管，防止垃圾散落造成二次污染。</w:t>
      </w:r>
    </w:p>
    <w:p w14:paraId="48445A3E">
      <w:pPr>
        <w:pStyle w:val="5"/>
        <w:rPr>
          <w:color w:val="auto"/>
        </w:rPr>
      </w:pPr>
      <w:r>
        <w:rPr>
          <w:color w:val="auto"/>
        </w:rPr>
        <w:t>农村生活污水治理</w:t>
      </w:r>
      <w:r>
        <w:rPr>
          <w:color w:val="auto"/>
        </w:rPr>
        <w:tab/>
      </w:r>
    </w:p>
    <w:p w14:paraId="0146DFBC">
      <w:pPr>
        <w:tabs>
          <w:tab w:val="left" w:pos="788"/>
        </w:tabs>
        <w:autoSpaceDE w:val="0"/>
        <w:autoSpaceDN w:val="0"/>
        <w:spacing w:after="0" w:line="576" w:lineRule="exact"/>
        <w:ind w:right="144"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对于人口相对分散的村落，在农户家中或附近建设三格式化粪池、沼气池等分散式污水处理设施。对于人口相对集中的村落，建设一体化污水处理设备，采用生物处理技术，如生物接触氧化法，对污水进行集中处理。处理后的污水达到《农村生活污水处理设施水污染物排放标准》（DB42/1537-2019）后，可用于农田灌溉、道路喷洒等。</w:t>
      </w:r>
    </w:p>
    <w:p w14:paraId="1701CF4B">
      <w:pPr>
        <w:tabs>
          <w:tab w:val="left" w:pos="788"/>
        </w:tabs>
        <w:autoSpaceDE w:val="0"/>
        <w:autoSpaceDN w:val="0"/>
        <w:spacing w:after="0" w:line="576" w:lineRule="exact"/>
        <w:ind w:right="144" w:firstLine="640" w:firstLineChars="200"/>
        <w:jc w:val="both"/>
        <w:rPr>
          <w:rFonts w:ascii="仿宋_GB2312" w:hAnsi="仿宋" w:eastAsia="仿宋_GB2312"/>
          <w:lang w:eastAsia="zh-CN"/>
        </w:rPr>
      </w:pPr>
      <w:r>
        <w:rPr>
          <w:rFonts w:hint="eastAsia" w:ascii="仿宋_GB2312" w:hAnsi="仿宋" w:eastAsia="仿宋_GB2312"/>
          <w:sz w:val="32"/>
          <w:lang w:eastAsia="zh-CN"/>
        </w:rPr>
        <w:t>在乡村道路两侧铺设污水收集管网，将分散的农户污水接入管网，最终汇入集中处理设施。管网建设时要考虑地形因素，确保污水重力自流，减少提升泵站的设置。定期对管网进行检查和维护，及时修复破损、堵塞的管道，保障污水收集系统正常运行。</w:t>
      </w:r>
    </w:p>
    <w:p w14:paraId="3B7A393A">
      <w:pPr>
        <w:pStyle w:val="5"/>
        <w:rPr>
          <w:color w:val="auto"/>
        </w:rPr>
      </w:pPr>
      <w:r>
        <w:rPr>
          <w:color w:val="auto"/>
        </w:rPr>
        <w:t>公共开敞空间</w:t>
      </w:r>
    </w:p>
    <w:p w14:paraId="5AF24843">
      <w:pPr>
        <w:tabs>
          <w:tab w:val="left" w:pos="788"/>
        </w:tabs>
        <w:autoSpaceDE w:val="0"/>
        <w:autoSpaceDN w:val="0"/>
        <w:spacing w:after="0" w:line="576" w:lineRule="exact"/>
        <w:ind w:right="144" w:firstLine="640" w:firstLineChars="200"/>
        <w:jc w:val="both"/>
        <w:rPr>
          <w:rFonts w:ascii="仿宋_GB2312" w:hAnsi="仿宋" w:eastAsia="仿宋_GB2312"/>
          <w:lang w:eastAsia="zh-CN"/>
        </w:rPr>
      </w:pPr>
      <w:r>
        <w:rPr>
          <w:rFonts w:hint="eastAsia" w:ascii="仿宋_GB2312" w:hAnsi="仿宋" w:eastAsia="仿宋_GB2312"/>
          <w:sz w:val="32"/>
          <w:lang w:eastAsia="zh-CN"/>
        </w:rPr>
        <w:t>各农村居民点应配置供村民家族聚会、邻里交往的公共空间，应兼顾功能、文化与艺术性，宜结合设置休憩座椅和健身器材。硬质铺装宜选用易获取、造价低、透水性能良好的材料，如当地石材、石板、毛面砖等乡土材料。</w:t>
      </w:r>
    </w:p>
    <w:p w14:paraId="1BCB20F0">
      <w:pPr>
        <w:pStyle w:val="5"/>
        <w:rPr>
          <w:color w:val="auto"/>
        </w:rPr>
      </w:pPr>
      <w:r>
        <w:rPr>
          <w:color w:val="auto"/>
        </w:rPr>
        <w:t>道路提升</w:t>
      </w:r>
      <w:r>
        <w:rPr>
          <w:color w:val="auto"/>
        </w:rPr>
        <w:tab/>
      </w:r>
    </w:p>
    <w:p w14:paraId="5ABB4E8F">
      <w:pPr>
        <w:tabs>
          <w:tab w:val="left" w:pos="788"/>
        </w:tabs>
        <w:autoSpaceDE w:val="0"/>
        <w:autoSpaceDN w:val="0"/>
        <w:spacing w:after="0" w:line="576" w:lineRule="exact"/>
        <w:ind w:right="144" w:firstLine="640" w:firstLineChars="200"/>
        <w:jc w:val="both"/>
        <w:rPr>
          <w:rFonts w:ascii="仿宋_GB2312" w:hAnsi="仿宋" w:eastAsia="仿宋_GB2312"/>
          <w:lang w:eastAsia="zh-CN"/>
        </w:rPr>
      </w:pPr>
      <w:r>
        <w:rPr>
          <w:rFonts w:hint="eastAsia" w:ascii="仿宋_GB2312" w:hAnsi="仿宋" w:eastAsia="仿宋_GB2312"/>
          <w:sz w:val="32"/>
          <w:lang w:eastAsia="zh-CN"/>
        </w:rPr>
        <w:t>村组道及以上等级道路路面宜采用沥青混凝土铺装，村庄内部道路可结合本地实际选用水泥路面或复合路面。道路两侧宜设置太阳能与电能互补路灯，并配备导引指示牌；排水边沟宜采用干砌片石或浆砌片石砌筑。</w:t>
      </w:r>
    </w:p>
    <w:p w14:paraId="5EC1A6B4">
      <w:pPr>
        <w:pStyle w:val="4"/>
        <w:jc w:val="center"/>
        <w:rPr>
          <w:rFonts w:ascii="楷体" w:hAnsi="楷体" w:eastAsia="楷体" w:cs="楷体"/>
          <w:color w:val="auto"/>
          <w:sz w:val="32"/>
          <w:szCs w:val="32"/>
          <w:lang w:eastAsia="zh-CN"/>
        </w:rPr>
      </w:pPr>
      <w:bookmarkStart w:id="39" w:name="_Toc239953179"/>
      <w:r>
        <w:rPr>
          <w:rFonts w:hint="eastAsia" w:ascii="楷体" w:hAnsi="楷体" w:eastAsia="楷体" w:cs="楷体"/>
          <w:color w:val="auto"/>
          <w:sz w:val="32"/>
          <w:szCs w:val="32"/>
          <w:lang w:eastAsia="zh-CN"/>
        </w:rPr>
        <w:t>第四节  历史文化遗产管控</w:t>
      </w:r>
      <w:bookmarkEnd w:id="39"/>
    </w:p>
    <w:p w14:paraId="3ADDF90D">
      <w:pPr>
        <w:pStyle w:val="5"/>
        <w:rPr>
          <w:color w:val="auto"/>
        </w:rPr>
      </w:pPr>
      <w:r>
        <w:rPr>
          <w:rFonts w:hint="eastAsia"/>
          <w:color w:val="auto"/>
        </w:rPr>
        <w:t>总体保护要求</w:t>
      </w:r>
    </w:p>
    <w:p w14:paraId="70A83353">
      <w:pPr>
        <w:tabs>
          <w:tab w:val="left" w:pos="788"/>
        </w:tabs>
        <w:autoSpaceDE w:val="0"/>
        <w:autoSpaceDN w:val="0"/>
        <w:spacing w:after="0" w:line="576" w:lineRule="exact"/>
        <w:ind w:right="144"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位于历史文化名镇、名村、传统村落保护名录内的乡村地区的规划管理应同时满足国家、省、市相关规定，并按照经批准的相关保护规划执行。</w:t>
      </w:r>
    </w:p>
    <w:p w14:paraId="013268AE">
      <w:pPr>
        <w:pStyle w:val="5"/>
        <w:rPr>
          <w:color w:val="auto"/>
        </w:rPr>
      </w:pPr>
      <w:r>
        <w:rPr>
          <w:color w:val="auto"/>
        </w:rPr>
        <w:t>文物保护单位、历史建筑的保护与管控</w:t>
      </w:r>
    </w:p>
    <w:p w14:paraId="6983C8EA">
      <w:pPr>
        <w:tabs>
          <w:tab w:val="left" w:pos="788"/>
        </w:tabs>
        <w:autoSpaceDE w:val="0"/>
        <w:autoSpaceDN w:val="0"/>
        <w:spacing w:after="0" w:line="576" w:lineRule="exact"/>
        <w:ind w:right="144"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严格按照国家文物保护法要求，对5处（6个）省级文物保护单位、24处市级文物保护单位、78处区级文物保护单位进行保护，保护范围内严格控制和管理各项建设活动，文物本体不得损毁、改建或者拆除，不得进行其他无关的建设工程，不得建设有污染设施或进行可能影响安全的活动，修缮、保养、使用应遵守不改变文物原状的原则。建设控制地带内不得建设危及文物安全或污染文物及其环境的设施，不得修建其他形式、高度、体量、色调等与文物建筑历史风貌不相协调的建筑物、构筑物。建设控制地带周边已建近现代建筑的体量、高度、形式、材质、色彩均应与文物保护单位协调统一，不协调的应采用传统工艺、传统材料进行整治。</w:t>
      </w:r>
    </w:p>
    <w:p w14:paraId="25390D65">
      <w:pPr>
        <w:tabs>
          <w:tab w:val="left" w:pos="788"/>
        </w:tabs>
        <w:autoSpaceDE w:val="0"/>
        <w:autoSpaceDN w:val="0"/>
        <w:spacing w:after="0" w:line="576" w:lineRule="exact"/>
        <w:ind w:right="144"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历史建筑。加强对</w:t>
      </w:r>
      <w:r>
        <w:rPr>
          <w:rFonts w:ascii="仿宋_GB2312" w:hAnsi="仿宋_GB2312" w:eastAsia="仿宋_GB2312"/>
          <w:sz w:val="32"/>
          <w:lang w:eastAsia="zh-CN"/>
        </w:rPr>
        <w:t>1</w:t>
      </w:r>
      <w:r>
        <w:rPr>
          <w:rFonts w:hint="eastAsia" w:ascii="仿宋_GB2312" w:hAnsi="仿宋_GB2312" w:eastAsia="仿宋_GB2312"/>
          <w:sz w:val="32"/>
          <w:lang w:eastAsia="zh-CN"/>
        </w:rPr>
        <w:t>1处市级历史建筑的保护和合理利用，参照文物保护单位的保护要求，保持历史建筑原有外形和风貌，对历史建筑进行整体性保护和修缮，对内外设施进行应有的改善。</w:t>
      </w:r>
    </w:p>
    <w:p w14:paraId="6586EED9">
      <w:pPr>
        <w:pStyle w:val="3"/>
        <w:jc w:val="center"/>
        <w:rPr>
          <w:color w:val="auto"/>
          <w:lang w:eastAsia="zh-CN"/>
        </w:rPr>
      </w:pPr>
      <w:bookmarkStart w:id="40" w:name="_Toc239953180"/>
      <w:r>
        <w:rPr>
          <w:rFonts w:hint="eastAsia" w:ascii="黑体" w:hAnsi="黑体" w:eastAsia="黑体" w:cs="黑体"/>
          <w:color w:val="auto"/>
          <w:sz w:val="32"/>
          <w:szCs w:val="32"/>
          <w:lang w:eastAsia="zh-CN"/>
        </w:rPr>
        <w:t>第六章  重点地块图则</w:t>
      </w:r>
      <w:bookmarkEnd w:id="40"/>
    </w:p>
    <w:p w14:paraId="2E13C99A">
      <w:pPr>
        <w:pStyle w:val="5"/>
        <w:rPr>
          <w:color w:val="auto"/>
        </w:rPr>
      </w:pPr>
      <w:r>
        <w:rPr>
          <w:rFonts w:hint="eastAsia"/>
          <w:color w:val="auto"/>
        </w:rPr>
        <w:t>适用情形</w:t>
      </w:r>
    </w:p>
    <w:p w14:paraId="0485E502">
      <w:pPr>
        <w:tabs>
          <w:tab w:val="left" w:pos="788"/>
        </w:tabs>
        <w:autoSpaceDE w:val="0"/>
        <w:autoSpaceDN w:val="0"/>
        <w:spacing w:after="0" w:line="576" w:lineRule="exact"/>
        <w:ind w:right="144" w:firstLine="640" w:firstLineChars="200"/>
        <w:jc w:val="both"/>
        <w:rPr>
          <w:rFonts w:ascii="仿宋_GB2312" w:hAnsi="仿宋" w:eastAsia="仿宋_GB2312"/>
          <w:lang w:eastAsia="zh-CN"/>
        </w:rPr>
      </w:pPr>
      <w:r>
        <w:rPr>
          <w:rFonts w:hint="eastAsia" w:ascii="仿宋_GB2312" w:hAnsi="仿宋" w:eastAsia="仿宋_GB2312"/>
          <w:sz w:val="32"/>
          <w:lang w:eastAsia="zh-CN"/>
        </w:rPr>
        <w:t>集中居民点、乡村公共服务设施、乡村产业设施、红线宽度8米以上村道、垃圾中转站、小型村用停车场等特定项目建设，需编制重点地块图则，作为核发规划许可的依据。</w:t>
      </w:r>
    </w:p>
    <w:p w14:paraId="1FAF3FF7">
      <w:pPr>
        <w:pStyle w:val="5"/>
        <w:rPr>
          <w:color w:val="auto"/>
        </w:rPr>
      </w:pPr>
      <w:r>
        <w:rPr>
          <w:rFonts w:hint="eastAsia"/>
          <w:color w:val="auto"/>
        </w:rPr>
        <w:t>制图</w:t>
      </w:r>
      <w:r>
        <w:rPr>
          <w:color w:val="auto"/>
        </w:rPr>
        <w:t>要求</w:t>
      </w:r>
    </w:p>
    <w:p w14:paraId="52E4F4C0">
      <w:pPr>
        <w:autoSpaceDE w:val="0"/>
        <w:autoSpaceDN w:val="0"/>
        <w:spacing w:after="0" w:line="576" w:lineRule="exact"/>
        <w:ind w:left="147" w:right="34" w:firstLine="641"/>
        <w:jc w:val="both"/>
        <w:rPr>
          <w:rFonts w:ascii="仿宋_GB2312" w:hAnsi="仿宋" w:eastAsia="仿宋_GB2312"/>
          <w:lang w:eastAsia="zh-CN"/>
        </w:rPr>
      </w:pPr>
      <w:r>
        <w:rPr>
          <w:rFonts w:hint="eastAsia" w:ascii="仿宋_GB2312" w:hAnsi="仿宋" w:eastAsia="仿宋_GB2312"/>
          <w:sz w:val="32"/>
          <w:lang w:eastAsia="zh-CN"/>
        </w:rPr>
        <w:t>地块图则应表达项目的地块位置、用地面积、用地性质、容积率、建筑高度、建筑密度、绿地率、出入口方位、停车场泊位、建筑退让及其他需要配置的基础设施和公共设施控制指标等内容，可包括建筑形式与风格、历史文化保护和环境保护要求等引导性内容。</w:t>
      </w:r>
    </w:p>
    <w:p w14:paraId="348E5486">
      <w:pPr>
        <w:pStyle w:val="5"/>
        <w:rPr>
          <w:rFonts w:eastAsia="宋体"/>
          <w:color w:val="auto"/>
        </w:rPr>
      </w:pPr>
      <w:r>
        <w:rPr>
          <w:color w:val="auto"/>
        </w:rPr>
        <w:t>办理程序</w:t>
      </w:r>
    </w:p>
    <w:p w14:paraId="534D6C4C">
      <w:pPr>
        <w:autoSpaceDE w:val="0"/>
        <w:autoSpaceDN w:val="0"/>
        <w:spacing w:after="0" w:line="576" w:lineRule="exact"/>
        <w:ind w:left="147" w:right="34" w:firstLine="641"/>
        <w:jc w:val="both"/>
        <w:rPr>
          <w:rFonts w:ascii="仿宋_GB2312" w:hAnsi="仿宋_GB2312" w:eastAsia="仿宋_GB2312"/>
          <w:sz w:val="32"/>
          <w:lang w:eastAsia="zh-CN"/>
        </w:rPr>
      </w:pPr>
      <w:r>
        <w:rPr>
          <w:rFonts w:ascii="仿宋_GB2312" w:hAnsi="仿宋_GB2312" w:eastAsia="仿宋_GB2312"/>
          <w:sz w:val="32"/>
          <w:lang w:eastAsia="zh-CN"/>
        </w:rPr>
        <w:t>依据本规定应编制报批地块图则的乡村建设项目，</w:t>
      </w:r>
      <w:r>
        <w:rPr>
          <w:rFonts w:hint="eastAsia" w:ascii="仿宋_GB2312" w:hAnsi="仿宋_GB2312" w:eastAsia="仿宋_GB2312"/>
          <w:sz w:val="32"/>
          <w:lang w:eastAsia="zh-CN"/>
        </w:rPr>
        <w:t>属国有性质的土地由土地使用权人提出申请，属集体性质的土地由村集体组织提出申请，</w:t>
      </w:r>
      <w:r>
        <w:rPr>
          <w:rFonts w:ascii="仿宋_GB2312" w:hAnsi="仿宋_GB2312" w:eastAsia="仿宋_GB2312"/>
          <w:sz w:val="32"/>
          <w:lang w:eastAsia="zh-CN"/>
        </w:rPr>
        <w:t>由乡镇人民政府委托</w:t>
      </w:r>
      <w:r>
        <w:rPr>
          <w:rFonts w:hint="eastAsia" w:ascii="仿宋_GB2312" w:hAnsi="仿宋_GB2312" w:eastAsia="仿宋_GB2312"/>
          <w:sz w:val="32"/>
          <w:lang w:eastAsia="zh-CN"/>
        </w:rPr>
        <w:t>有资质的编制单位</w:t>
      </w:r>
      <w:r>
        <w:rPr>
          <w:rFonts w:ascii="仿宋_GB2312" w:hAnsi="仿宋_GB2312" w:eastAsia="仿宋_GB2312"/>
          <w:sz w:val="32"/>
          <w:lang w:eastAsia="zh-CN"/>
        </w:rPr>
        <w:t>编制相应图则，经</w:t>
      </w:r>
      <w:r>
        <w:rPr>
          <w:rFonts w:hint="eastAsia" w:ascii="仿宋_GB2312" w:hAnsi="仿宋_GB2312" w:eastAsia="仿宋_GB2312"/>
          <w:sz w:val="32"/>
          <w:lang w:eastAsia="zh-CN"/>
        </w:rPr>
        <w:t>区</w:t>
      </w:r>
      <w:r>
        <w:rPr>
          <w:rFonts w:ascii="仿宋_GB2312" w:hAnsi="仿宋_GB2312" w:eastAsia="仿宋_GB2312"/>
          <w:sz w:val="32"/>
          <w:lang w:eastAsia="zh-CN"/>
        </w:rPr>
        <w:t>自然资源主管部门审查通过后，在村（居）内公示栏公示，公示时间不得少于7个工作日，无异议后</w:t>
      </w:r>
      <w:r>
        <w:rPr>
          <w:rFonts w:hint="eastAsia" w:ascii="仿宋_GB2312" w:hAnsi="仿宋_GB2312" w:eastAsia="仿宋_GB2312"/>
          <w:sz w:val="32"/>
          <w:lang w:eastAsia="zh-CN"/>
        </w:rPr>
        <w:t>由乡镇人民政府</w:t>
      </w:r>
      <w:r>
        <w:rPr>
          <w:rFonts w:ascii="仿宋_GB2312" w:hAnsi="仿宋_GB2312" w:eastAsia="仿宋_GB2312"/>
          <w:sz w:val="32"/>
          <w:lang w:eastAsia="zh-CN"/>
        </w:rPr>
        <w:t>报</w:t>
      </w:r>
      <w:r>
        <w:rPr>
          <w:rFonts w:hint="eastAsia" w:ascii="仿宋_GB2312" w:hAnsi="仿宋_GB2312" w:eastAsia="仿宋_GB2312"/>
          <w:sz w:val="32"/>
          <w:lang w:eastAsia="zh-CN"/>
        </w:rPr>
        <w:t>区</w:t>
      </w:r>
      <w:r>
        <w:rPr>
          <w:rFonts w:ascii="仿宋_GB2312" w:hAnsi="仿宋_GB2312" w:eastAsia="仿宋_GB2312"/>
          <w:sz w:val="32"/>
          <w:lang w:eastAsia="zh-CN"/>
        </w:rPr>
        <w:t>人民政府审批。其中建设占用土地，涉及农用地转为建设用地的，应当先行办理农用地转用审批手续。</w:t>
      </w:r>
    </w:p>
    <w:p w14:paraId="1C7DE289">
      <w:pPr>
        <w:spacing w:after="0" w:line="240" w:lineRule="auto"/>
        <w:rPr>
          <w:rFonts w:ascii="黑体" w:hAnsi="黑体" w:eastAsia="黑体" w:cs="黑体"/>
          <w:b/>
          <w:bCs/>
          <w:sz w:val="32"/>
          <w:szCs w:val="32"/>
          <w:lang w:eastAsia="zh-CN"/>
        </w:rPr>
      </w:pPr>
      <w:r>
        <w:rPr>
          <w:rFonts w:hint="eastAsia" w:ascii="黑体" w:hAnsi="黑体" w:eastAsia="黑体" w:cs="黑体"/>
          <w:sz w:val="32"/>
          <w:szCs w:val="32"/>
          <w:lang w:eastAsia="zh-CN"/>
        </w:rPr>
        <w:br w:type="page"/>
      </w:r>
    </w:p>
    <w:p w14:paraId="01E980FB">
      <w:pPr>
        <w:pStyle w:val="3"/>
        <w:jc w:val="center"/>
        <w:rPr>
          <w:rFonts w:ascii="黑体" w:hAnsi="黑体" w:eastAsia="黑体"/>
          <w:b w:val="0"/>
          <w:color w:val="auto"/>
          <w:lang w:eastAsia="zh-CN"/>
        </w:rPr>
      </w:pPr>
      <w:bookmarkStart w:id="41" w:name="_Toc239953181"/>
      <w:r>
        <w:rPr>
          <w:rFonts w:hint="eastAsia" w:ascii="黑体" w:hAnsi="黑体" w:eastAsia="黑体" w:cs="黑体"/>
          <w:color w:val="auto"/>
          <w:sz w:val="32"/>
          <w:szCs w:val="32"/>
          <w:lang w:eastAsia="zh-CN"/>
        </w:rPr>
        <w:t>第七章  附则</w:t>
      </w:r>
      <w:bookmarkEnd w:id="41"/>
    </w:p>
    <w:p w14:paraId="7605DF58">
      <w:pPr>
        <w:pStyle w:val="5"/>
        <w:rPr>
          <w:rFonts w:ascii="仿宋_GB2312" w:hAnsi="仿宋_GB2312" w:eastAsia="宋体"/>
          <w:color w:val="auto"/>
        </w:rPr>
      </w:pPr>
      <w:r>
        <w:rPr>
          <w:rFonts w:hint="eastAsia"/>
          <w:color w:val="auto"/>
        </w:rPr>
        <w:t>实施监督</w:t>
      </w:r>
    </w:p>
    <w:p w14:paraId="5A561BB8">
      <w:pPr>
        <w:tabs>
          <w:tab w:val="left" w:pos="788"/>
        </w:tabs>
        <w:autoSpaceDE w:val="0"/>
        <w:autoSpaceDN w:val="0"/>
        <w:spacing w:after="0" w:line="576" w:lineRule="exact"/>
        <w:ind w:left="146"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通则式”管理规定是实现我区乡村地区规划管理“全覆盖、无死角、有依据、可操作”的关键制度设计。本规定旨在为暂未编制详细规划的村庄和规划编制深度不足的区域，提供一套普适、简洁、刚性的空间管控准则，是落实“多规合一”改革、强化国土空间用途管制、提升乡村治理能力的重要抓手。</w:t>
      </w:r>
    </w:p>
    <w:p w14:paraId="34725037">
      <w:pPr>
        <w:tabs>
          <w:tab w:val="left" w:pos="788"/>
        </w:tabs>
        <w:autoSpaceDE w:val="0"/>
        <w:autoSpaceDN w:val="0"/>
        <w:spacing w:after="0" w:line="576" w:lineRule="exact"/>
        <w:ind w:left="146"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本规定严格遵循《梁子湖区国土空间总体规划（2021-2035年）》《梁子湖区国土空间总体规划年度动态维护方案》确定的“三区三线”（即生态空间、农业空间、城镇空间以及生态保护红线、永久基本农田保护红线、城镇开发边界）等上位管控要求。</w:t>
      </w:r>
    </w:p>
    <w:p w14:paraId="7922F880">
      <w:pPr>
        <w:pStyle w:val="5"/>
        <w:rPr>
          <w:color w:val="auto"/>
        </w:rPr>
      </w:pPr>
      <w:r>
        <w:rPr>
          <w:rFonts w:hint="eastAsia"/>
          <w:color w:val="auto"/>
        </w:rPr>
        <w:t>规划许可情形</w:t>
      </w:r>
    </w:p>
    <w:p w14:paraId="6C45B38B">
      <w:pPr>
        <w:tabs>
          <w:tab w:val="left" w:pos="788"/>
        </w:tabs>
        <w:autoSpaceDE w:val="0"/>
        <w:autoSpaceDN w:val="0"/>
        <w:spacing w:after="0" w:line="576" w:lineRule="exact"/>
        <w:ind w:left="146"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核发乡村建设规划许可存在以下三类情形：</w:t>
      </w:r>
    </w:p>
    <w:p w14:paraId="4905C213">
      <w:pPr>
        <w:tabs>
          <w:tab w:val="left" w:pos="788"/>
        </w:tabs>
        <w:autoSpaceDE w:val="0"/>
        <w:autoSpaceDN w:val="0"/>
        <w:spacing w:after="0" w:line="576" w:lineRule="exact"/>
        <w:ind w:left="146"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一是直接以本规定为规划依据核发规划许可；</w:t>
      </w:r>
    </w:p>
    <w:p w14:paraId="7CF32000">
      <w:pPr>
        <w:tabs>
          <w:tab w:val="left" w:pos="788"/>
        </w:tabs>
        <w:autoSpaceDE w:val="0"/>
        <w:autoSpaceDN w:val="0"/>
        <w:spacing w:after="0" w:line="576" w:lineRule="exact"/>
        <w:ind w:left="146"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二是补充编制重点地块图则后核发规划许可；</w:t>
      </w:r>
    </w:p>
    <w:p w14:paraId="12920B17">
      <w:pPr>
        <w:tabs>
          <w:tab w:val="left" w:pos="788"/>
        </w:tabs>
        <w:autoSpaceDE w:val="0"/>
        <w:autoSpaceDN w:val="0"/>
        <w:spacing w:after="0" w:line="576" w:lineRule="exact"/>
        <w:ind w:left="146"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三是不适用于本规定，应依据已批准的村庄规划或其他详细规划核发规划许可。</w:t>
      </w:r>
    </w:p>
    <w:p w14:paraId="457AAB35">
      <w:pPr>
        <w:pStyle w:val="5"/>
        <w:rPr>
          <w:color w:val="auto"/>
        </w:rPr>
      </w:pPr>
      <w:r>
        <w:rPr>
          <w:color w:val="auto"/>
        </w:rPr>
        <w:t>规划许可流程</w:t>
      </w:r>
    </w:p>
    <w:p w14:paraId="3C3C7143">
      <w:pPr>
        <w:tabs>
          <w:tab w:val="left" w:pos="788"/>
        </w:tabs>
        <w:autoSpaceDE w:val="0"/>
        <w:autoSpaceDN w:val="0"/>
        <w:spacing w:after="0" w:line="576" w:lineRule="exact"/>
        <w:ind w:left="146"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农房建设项目按照农村宅基地审批和建房管理、乡村建设规划许可等程序办理，由村民委员会协助初核、公示，镇人民政府按职责组织审查和现场踏勘，涉及农用地转用、占用耕地等情形的，依法报有权机关审批。非农房乡村建设项目包括乡村公共服务设施、基础设施、产业设施等，属于可直接依据本规定办理的按相关建设项目审批和乡村建设规划许可程序办理；属于需补充编制地块控制图则的，由乡镇人民政府组织编制，经审查、公示、报批、备案后作为规划许可依据；不属于本规定适用范围的，应依据已批准村规划或其他详细规划办理，确无规划依据的，应依法另行编制村规划或地块控制图则后办理。</w:t>
      </w:r>
    </w:p>
    <w:p w14:paraId="5383F251">
      <w:pPr>
        <w:pStyle w:val="5"/>
        <w:rPr>
          <w:color w:val="auto"/>
        </w:rPr>
      </w:pPr>
      <w:r>
        <w:rPr>
          <w:rFonts w:hint="eastAsia"/>
          <w:color w:val="auto"/>
        </w:rPr>
        <w:t>审批实施</w:t>
      </w:r>
    </w:p>
    <w:p w14:paraId="5082EA16">
      <w:pPr>
        <w:tabs>
          <w:tab w:val="left" w:pos="788"/>
        </w:tabs>
        <w:autoSpaceDE w:val="0"/>
        <w:autoSpaceDN w:val="0"/>
        <w:spacing w:after="0" w:line="576" w:lineRule="exact"/>
        <w:ind w:left="146" w:firstLine="640" w:firstLineChars="200"/>
        <w:jc w:val="both"/>
        <w:rPr>
          <w:rFonts w:ascii="仿宋_GB2312" w:hAnsi="仿宋" w:eastAsia="仿宋_GB2312"/>
          <w:lang w:eastAsia="zh-CN"/>
        </w:rPr>
      </w:pPr>
      <w:r>
        <w:rPr>
          <w:rFonts w:hint="eastAsia" w:ascii="仿宋_GB2312" w:hAnsi="仿宋" w:eastAsia="仿宋_GB2312"/>
          <w:sz w:val="32"/>
          <w:lang w:eastAsia="zh-CN"/>
        </w:rPr>
        <w:t>成果入库：梁子湖分局负责将最终批准的、格式统一的“通则”成果（含批文、规定文本、图件、矢量数据库等）实时、完整、逐级汇交至省级国土空间规划“一张图”实施监督信息系统。</w:t>
      </w:r>
    </w:p>
    <w:p w14:paraId="495B3B63">
      <w:pPr>
        <w:pStyle w:val="5"/>
        <w:rPr>
          <w:rFonts w:eastAsia="宋体"/>
          <w:color w:val="auto"/>
        </w:rPr>
      </w:pPr>
      <w:r>
        <w:rPr>
          <w:rFonts w:hint="eastAsia"/>
          <w:color w:val="auto"/>
        </w:rPr>
        <w:t>修改程序</w:t>
      </w:r>
    </w:p>
    <w:p w14:paraId="67DBA18E">
      <w:pPr>
        <w:tabs>
          <w:tab w:val="left" w:pos="788"/>
        </w:tabs>
        <w:autoSpaceDE w:val="0"/>
        <w:autoSpaceDN w:val="0"/>
        <w:spacing w:after="0" w:line="576" w:lineRule="exact"/>
        <w:ind w:left="146"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（一）“通则式”管理规定修改</w:t>
      </w:r>
    </w:p>
    <w:p w14:paraId="4C02264C">
      <w:pPr>
        <w:tabs>
          <w:tab w:val="left" w:pos="788"/>
        </w:tabs>
        <w:autoSpaceDE w:val="0"/>
        <w:autoSpaceDN w:val="0"/>
        <w:spacing w:after="0" w:line="576" w:lineRule="exact"/>
        <w:ind w:left="146"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“通则式”管理规定一经批准，应保持其必要的稳定性和连续性，以维护规划的严肃性和公信力。确需修改的情形必须严格限定于以下客观原因：</w:t>
      </w:r>
    </w:p>
    <w:p w14:paraId="09840994">
      <w:pPr>
        <w:tabs>
          <w:tab w:val="left" w:pos="788"/>
        </w:tabs>
        <w:autoSpaceDE w:val="0"/>
        <w:autoSpaceDN w:val="0"/>
        <w:spacing w:after="0" w:line="576" w:lineRule="exact"/>
        <w:ind w:left="146"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上位规划变更：因国家、省、市县（区）级国土空间总体规划发生依法调整，导致本规定在强制性内容上与之产生冲突。</w:t>
      </w:r>
    </w:p>
    <w:p w14:paraId="29702FAF">
      <w:pPr>
        <w:tabs>
          <w:tab w:val="left" w:pos="788"/>
        </w:tabs>
        <w:autoSpaceDE w:val="0"/>
        <w:autoSpaceDN w:val="0"/>
        <w:spacing w:after="0" w:line="576" w:lineRule="exact"/>
        <w:ind w:left="146"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法律法规及政策调整：国家、省、市、县（区）新颁布或修订的法律、法规、规章、政策对乡村规划管理提出了新的强制性要求。</w:t>
      </w:r>
    </w:p>
    <w:p w14:paraId="4FE219E6">
      <w:pPr>
        <w:tabs>
          <w:tab w:val="left" w:pos="788"/>
        </w:tabs>
        <w:autoSpaceDE w:val="0"/>
        <w:autoSpaceDN w:val="0"/>
        <w:spacing w:after="0" w:line="576" w:lineRule="exact"/>
        <w:ind w:left="146"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重大公共利益或项目建设需要：因落实国家、省、市、县（区）重大战略部署，或为应对自然灾害、突发公共安全事件等，确需调整空间布局。</w:t>
      </w:r>
    </w:p>
    <w:p w14:paraId="300877C7">
      <w:pPr>
        <w:tabs>
          <w:tab w:val="left" w:pos="788"/>
        </w:tabs>
        <w:autoSpaceDE w:val="0"/>
        <w:autoSpaceDN w:val="0"/>
        <w:spacing w:after="0" w:line="576" w:lineRule="exact"/>
        <w:ind w:left="146"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经评估后确需优化：规定实施满3-5年，经法定程序评估后，发现其存在明显不适应发展实际、可操作性差等问题，确需系统性修订。</w:t>
      </w:r>
    </w:p>
    <w:p w14:paraId="4FE7E45C">
      <w:pPr>
        <w:tabs>
          <w:tab w:val="left" w:pos="788"/>
        </w:tabs>
        <w:autoSpaceDE w:val="0"/>
        <w:autoSpaceDN w:val="0"/>
        <w:spacing w:after="0" w:line="576" w:lineRule="exact"/>
        <w:ind w:left="146"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修改必须遵循“谁审批、谁修改、谁负责”的原则，程序等同于制定程序。由梁子湖分局提出修改申请和论证报告，重新履行“现场调研-方案编制-部门联审-专家论证-社会公示（不少于15日）-风险评估-合法性审查”等全流程，最终报原批准机关（梁子湖区人民政府）重新审批。严禁“以会议纪要、领导批示代替法定程序”或“边建边批、先建后补”等违法违规行为。</w:t>
      </w:r>
    </w:p>
    <w:p w14:paraId="3772C085">
      <w:pPr>
        <w:tabs>
          <w:tab w:val="left" w:pos="788"/>
        </w:tabs>
        <w:autoSpaceDE w:val="0"/>
        <w:autoSpaceDN w:val="0"/>
        <w:spacing w:after="0" w:line="576" w:lineRule="exact"/>
        <w:ind w:left="146"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（二）图则修改与调整</w:t>
      </w:r>
    </w:p>
    <w:p w14:paraId="48508DA0">
      <w:pPr>
        <w:tabs>
          <w:tab w:val="left" w:pos="788"/>
        </w:tabs>
        <w:autoSpaceDE w:val="0"/>
        <w:autoSpaceDN w:val="0"/>
        <w:spacing w:after="0" w:line="576" w:lineRule="exact"/>
        <w:ind w:left="146"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1.修改与调整的情形</w:t>
      </w:r>
    </w:p>
    <w:p w14:paraId="55560EC3">
      <w:pPr>
        <w:tabs>
          <w:tab w:val="left" w:pos="788"/>
        </w:tabs>
        <w:autoSpaceDE w:val="0"/>
        <w:autoSpaceDN w:val="0"/>
        <w:spacing w:after="0" w:line="576" w:lineRule="exact"/>
        <w:ind w:left="146"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当国土空间总体规划、生态保护红线等上位规划发生变更时，需同步调整“通则式”管理规定中的相应图则。</w:t>
      </w:r>
    </w:p>
    <w:p w14:paraId="61812E4C">
      <w:pPr>
        <w:tabs>
          <w:tab w:val="left" w:pos="788"/>
        </w:tabs>
        <w:autoSpaceDE w:val="0"/>
        <w:autoSpaceDN w:val="0"/>
        <w:spacing w:after="0" w:line="576" w:lineRule="exact"/>
        <w:ind w:left="146"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因乡村产业转型、基础设施升级等实际需求，需对原规划中的用地性质、建设边界等图则内容进行调整。</w:t>
      </w:r>
    </w:p>
    <w:p w14:paraId="33DA032F">
      <w:pPr>
        <w:tabs>
          <w:tab w:val="left" w:pos="788"/>
        </w:tabs>
        <w:autoSpaceDE w:val="0"/>
        <w:autoSpaceDN w:val="0"/>
        <w:spacing w:after="0" w:line="576" w:lineRule="exact"/>
        <w:ind w:left="146"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2.调整程序</w:t>
      </w:r>
      <w:r>
        <w:rPr>
          <w:rFonts w:ascii="仿宋_GB2312" w:hAnsi="仿宋_GB2312" w:eastAsia="仿宋_GB2312"/>
          <w:sz w:val="32"/>
          <w:lang w:eastAsia="zh-CN"/>
        </w:rPr>
        <w:tab/>
      </w:r>
    </w:p>
    <w:p w14:paraId="4DB8F94A">
      <w:pPr>
        <w:tabs>
          <w:tab w:val="left" w:pos="788"/>
        </w:tabs>
        <w:autoSpaceDE w:val="0"/>
        <w:autoSpaceDN w:val="0"/>
        <w:spacing w:after="0" w:line="576" w:lineRule="exact"/>
        <w:ind w:left="146"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申请与审查。由乡镇人民政府或村委会提出调整申请，由区自然资源主管部门组织专家论证，重点审查是否符合“三区三线”管控要求。</w:t>
      </w:r>
    </w:p>
    <w:p w14:paraId="4C407635">
      <w:pPr>
        <w:tabs>
          <w:tab w:val="left" w:pos="788"/>
        </w:tabs>
        <w:autoSpaceDE w:val="0"/>
        <w:autoSpaceDN w:val="0"/>
        <w:spacing w:after="0" w:line="576" w:lineRule="exact"/>
        <w:ind w:left="146"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公示与审批。调整方案需在村庄公示不少于</w:t>
      </w:r>
      <w:r>
        <w:rPr>
          <w:rFonts w:ascii="仿宋_GB2312" w:hAnsi="仿宋_GB2312" w:eastAsia="仿宋_GB2312"/>
          <w:sz w:val="32"/>
          <w:lang w:eastAsia="zh-CN"/>
        </w:rPr>
        <w:t>7</w:t>
      </w:r>
      <w:r>
        <w:rPr>
          <w:rFonts w:hint="eastAsia" w:ascii="仿宋_GB2312" w:hAnsi="仿宋_GB2312" w:eastAsia="仿宋_GB2312"/>
          <w:sz w:val="32"/>
          <w:lang w:eastAsia="zh-CN"/>
        </w:rPr>
        <w:t>个工作日，无异议后报区人民政府审批。</w:t>
      </w:r>
    </w:p>
    <w:p w14:paraId="60039F6D">
      <w:pPr>
        <w:tabs>
          <w:tab w:val="left" w:pos="788"/>
        </w:tabs>
        <w:autoSpaceDE w:val="0"/>
        <w:autoSpaceDN w:val="0"/>
        <w:spacing w:after="0" w:line="576" w:lineRule="exact"/>
        <w:ind w:left="146"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数据库更新。批准后的调整内容以附加图层形式纳入国土空间规划“一张图”系统。</w:t>
      </w:r>
    </w:p>
    <w:p w14:paraId="06080014">
      <w:pPr>
        <w:tabs>
          <w:tab w:val="left" w:pos="788"/>
        </w:tabs>
        <w:autoSpaceDE w:val="0"/>
        <w:autoSpaceDN w:val="0"/>
        <w:spacing w:after="0" w:line="576" w:lineRule="exact"/>
        <w:ind w:left="146"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3.管控要求</w:t>
      </w:r>
      <w:r>
        <w:rPr>
          <w:rFonts w:hint="eastAsia" w:ascii="仿宋_GB2312" w:hAnsi="仿宋_GB2312" w:eastAsia="仿宋_GB2312"/>
          <w:sz w:val="32"/>
          <w:lang w:eastAsia="zh-CN"/>
        </w:rPr>
        <w:tab/>
      </w:r>
    </w:p>
    <w:p w14:paraId="57FC8605">
      <w:pPr>
        <w:tabs>
          <w:tab w:val="left" w:pos="788"/>
        </w:tabs>
        <w:autoSpaceDE w:val="0"/>
        <w:autoSpaceDN w:val="0"/>
        <w:spacing w:after="0" w:line="576" w:lineRule="exact"/>
        <w:ind w:left="146"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调整后图则不得突破永久基本农田、生态保护红线等刚性约束指标。</w:t>
      </w:r>
    </w:p>
    <w:p w14:paraId="0E3079D0">
      <w:pPr>
        <w:pStyle w:val="5"/>
        <w:rPr>
          <w:rFonts w:ascii="仿宋_GB2312" w:hAnsi="仿宋_GB2312" w:eastAsia="仿宋_GB2312"/>
          <w:color w:val="auto"/>
        </w:rPr>
      </w:pPr>
      <w:r>
        <w:rPr>
          <w:rFonts w:hint="eastAsia"/>
          <w:color w:val="auto"/>
        </w:rPr>
        <w:t>动态更新与精细化管理机制</w:t>
      </w:r>
    </w:p>
    <w:p w14:paraId="74BDD29D">
      <w:pPr>
        <w:tabs>
          <w:tab w:val="left" w:pos="788"/>
        </w:tabs>
        <w:autoSpaceDE w:val="0"/>
        <w:autoSpaceDN w:val="0"/>
        <w:spacing w:after="0" w:line="576" w:lineRule="exact"/>
        <w:ind w:left="146"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为增强“通则式”管理规定的适应性和生命力，建立“通则定框架、图则管地块、清单明负面”的动态更新与精细化管控体系。</w:t>
      </w:r>
    </w:p>
    <w:p w14:paraId="3145B7C3">
      <w:pPr>
        <w:tabs>
          <w:tab w:val="left" w:pos="788"/>
        </w:tabs>
        <w:autoSpaceDE w:val="0"/>
        <w:autoSpaceDN w:val="0"/>
        <w:spacing w:after="0" w:line="576" w:lineRule="exact"/>
        <w:ind w:left="146"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通则+图则”的动态衔接。在“通则”确定的总体框架和约束性指标不突破的前提下，为应对乡村产业发展、民生改善、乡村旅游等具体项目的建设需求，可启动“重点地块控制图则”（简称“图则”）的增补程序。</w:t>
      </w:r>
    </w:p>
    <w:p w14:paraId="3634DEBE">
      <w:pPr>
        <w:tabs>
          <w:tab w:val="left" w:pos="788"/>
        </w:tabs>
        <w:autoSpaceDE w:val="0"/>
        <w:autoSpaceDN w:val="0"/>
        <w:spacing w:after="0" w:line="576" w:lineRule="exact"/>
        <w:ind w:left="146" w:firstLine="640" w:firstLineChars="200"/>
        <w:jc w:val="both"/>
        <w:rPr>
          <w:rFonts w:ascii="仿宋_GB2312" w:hAnsi="仿宋_GB2312" w:eastAsia="仿宋_GB2312"/>
          <w:sz w:val="32"/>
          <w:lang w:eastAsia="zh-CN"/>
        </w:rPr>
      </w:pPr>
      <w:r>
        <w:rPr>
          <w:rFonts w:hint="eastAsia" w:ascii="仿宋_GB2312" w:hAnsi="仿宋_GB2312" w:eastAsia="仿宋_GB2312"/>
          <w:sz w:val="32"/>
          <w:lang w:eastAsia="zh-CN"/>
        </w:rPr>
        <w:t>规划“留白”机制。可预留一定量的“留白”用地机动指标，用于未来不可预见的村民聚居点优化、零散宅基地归并、必要的小型公共服务设施和防灾避险设施建设，但严禁用于房</w:t>
      </w:r>
      <w:r>
        <w:rPr>
          <w:rFonts w:hint="eastAsia" w:ascii="仿宋_GB2312" w:hAnsi="仿宋_GB2312" w:eastAsia="仿宋_GB2312"/>
          <w:sz w:val="32"/>
          <w:lang w:eastAsia="zh-CN"/>
        </w:rPr>
        <w:drawing>
          <wp:anchor distT="0" distB="0" distL="114300" distR="114300" simplePos="0" relativeHeight="251659264" behindDoc="0" locked="0" layoutInCell="1" allowOverlap="1">
            <wp:simplePos x="0" y="0"/>
            <wp:positionH relativeFrom="column">
              <wp:posOffset>190500</wp:posOffset>
            </wp:positionH>
            <wp:positionV relativeFrom="paragraph">
              <wp:posOffset>829945</wp:posOffset>
            </wp:positionV>
            <wp:extent cx="5448300" cy="2495550"/>
            <wp:effectExtent l="0" t="0" r="0" b="0"/>
            <wp:wrapTopAndBottom/>
            <wp:docPr id="207065800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658001" name="图片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448300" cy="2495550"/>
                    </a:xfrm>
                    <a:prstGeom prst="rect">
                      <a:avLst/>
                    </a:prstGeom>
                    <a:noFill/>
                  </pic:spPr>
                </pic:pic>
              </a:graphicData>
            </a:graphic>
          </wp:anchor>
        </w:drawing>
      </w:r>
      <w:r>
        <w:rPr>
          <w:rFonts w:hint="eastAsia" w:ascii="仿宋_GB2312" w:hAnsi="仿宋_GB2312" w:eastAsia="仿宋_GB2312"/>
          <w:sz w:val="32"/>
          <w:lang w:eastAsia="zh-CN"/>
        </w:rPr>
        <w:t>地产开发和工业项目。</w:t>
      </w:r>
    </w:p>
    <w:p w14:paraId="5C2C2130">
      <w:pPr>
        <w:tabs>
          <w:tab w:val="left" w:pos="788"/>
        </w:tabs>
        <w:autoSpaceDE w:val="0"/>
        <w:autoSpaceDN w:val="0"/>
        <w:spacing w:after="0" w:line="576" w:lineRule="exact"/>
        <w:ind w:left="113"/>
        <w:jc w:val="center"/>
        <w:rPr>
          <w:rFonts w:ascii="仿宋_GB2312" w:hAnsi="仿宋_GB2312" w:eastAsia="仿宋_GB2312"/>
          <w:sz w:val="28"/>
          <w:szCs w:val="21"/>
          <w:lang w:eastAsia="zh-CN"/>
        </w:rPr>
      </w:pPr>
      <w:r>
        <w:rPr>
          <w:rFonts w:hint="eastAsia" w:ascii="仿宋_GB2312" w:hAnsi="仿宋_GB2312" w:eastAsia="仿宋_GB2312"/>
          <w:sz w:val="28"/>
          <w:szCs w:val="21"/>
          <w:lang w:eastAsia="zh-CN"/>
        </w:rPr>
        <w:t>核发乡村建设规划许可流程</w:t>
      </w:r>
    </w:p>
    <w:p w14:paraId="2203D034">
      <w:pPr>
        <w:spacing w:after="0" w:line="240" w:lineRule="auto"/>
        <w:rPr>
          <w:rFonts w:ascii="黑体" w:hAnsi="黑体" w:eastAsia="黑体" w:cs="黑体"/>
          <w:b/>
          <w:bCs/>
          <w:sz w:val="32"/>
          <w:szCs w:val="32"/>
          <w:lang w:eastAsia="zh-CN"/>
        </w:rPr>
      </w:pPr>
    </w:p>
    <w:sectPr>
      <w:headerReference r:id="rId6" w:type="default"/>
      <w:footerReference r:id="rId7" w:type="default"/>
      <w:pgSz w:w="11906" w:h="16838"/>
      <w:pgMar w:top="1440" w:right="1440" w:bottom="724" w:left="1440" w:header="720" w:footer="720" w:gutter="0"/>
      <w:pgNumType w:start="1"/>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MS Mincho">
    <w:panose1 w:val="02020609040205080304"/>
    <w:charset w:val="80"/>
    <w:family w:val="auto"/>
    <w:pitch w:val="default"/>
    <w:sig w:usb0="E00002FF" w:usb1="6AC7FDFB" w:usb2="00000012" w:usb3="00000000" w:csb0="4002009F" w:csb1="DFD70000"/>
  </w:font>
  <w:font w:name="MS Gothic">
    <w:panose1 w:val="020B0609070205080204"/>
    <w:charset w:val="80"/>
    <w:family w:val="auto"/>
    <w:pitch w:val="default"/>
    <w:sig w:usb0="E00002FF" w:usb1="6AC7FDFB" w:usb2="00000012" w:usb3="00000000" w:csb0="4002009F" w:csb1="DFD70000"/>
  </w:font>
  <w:font w:name="楷体">
    <w:panose1 w:val="02010609060101010101"/>
    <w:charset w:val="86"/>
    <w:family w:val="modern"/>
    <w:pitch w:val="default"/>
    <w:sig w:usb0="800002BF" w:usb1="38CF7CFA" w:usb2="00000016" w:usb3="00000000" w:csb0="00040001" w:csb1="00000000"/>
  </w:font>
  <w:font w:name="Courier">
    <w:altName w:val="Courier New"/>
    <w:panose1 w:val="02070409020205020404"/>
    <w:charset w:val="00"/>
    <w:family w:val="auto"/>
    <w:pitch w:val="default"/>
    <w:sig w:usb0="00000000" w:usb1="00000000" w:usb2="00000000" w:usb3="00000000" w:csb0="00000001"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AFF" w:usb1="C0007843" w:usb2="00000009" w:usb3="00000000" w:csb0="400001FF" w:csb1="FFFF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89079288"/>
      <w:docPartObj>
        <w:docPartGallery w:val="AutoText"/>
      </w:docPartObj>
    </w:sdtPr>
    <w:sdtContent>
      <w:p w14:paraId="110370F9">
        <w:pPr>
          <w:pStyle w:val="24"/>
          <w:jc w:val="center"/>
        </w:pPr>
      </w:p>
    </w:sdtContent>
  </w:sdt>
  <w:p w14:paraId="1525603B">
    <w:pPr>
      <w:pStyle w:val="24"/>
      <w:tabs>
        <w:tab w:val="center" w:pos="4708"/>
        <w:tab w:val="clear" w:pos="4680"/>
        <w:tab w:val="clear" w:pos="936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87562144"/>
      <w:docPartObj>
        <w:docPartGallery w:val="AutoText"/>
      </w:docPartObj>
    </w:sdtPr>
    <w:sdtContent>
      <w:p w14:paraId="336B5B5B">
        <w:pPr>
          <w:pStyle w:val="24"/>
          <w:jc w:val="center"/>
        </w:pPr>
        <w:r>
          <w:fldChar w:fldCharType="begin"/>
        </w:r>
        <w:r>
          <w:instrText xml:space="preserve">PAGE   \* MERGEFORMAT</w:instrText>
        </w:r>
        <w:r>
          <w:fldChar w:fldCharType="separate"/>
        </w:r>
        <w:r>
          <w:rPr>
            <w:lang w:val="zh-CN" w:eastAsia="zh-CN"/>
          </w:rPr>
          <w:t>2</w:t>
        </w:r>
        <w:r>
          <w:fldChar w:fldCharType="end"/>
        </w:r>
      </w:p>
    </w:sdtContent>
  </w:sdt>
  <w:p w14:paraId="389C6FE0">
    <w:pPr>
      <w:pStyle w:val="24"/>
      <w:tabs>
        <w:tab w:val="center" w:pos="4708"/>
        <w:tab w:val="clear" w:pos="4680"/>
        <w:tab w:val="clear" w:pos="936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E491D">
    <w:pPr>
      <w:pStyle w:val="2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0"/>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18"/>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abstractNum w:abstractNumId="6">
    <w:nsid w:val="17F540CA"/>
    <w:multiLevelType w:val="multilevel"/>
    <w:tmpl w:val="17F540CA"/>
    <w:lvl w:ilvl="0" w:tentative="0">
      <w:start w:val="1"/>
      <w:numFmt w:val="decimal"/>
      <w:pStyle w:val="5"/>
      <w:lvlText w:val="第%1条 "/>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6"/>
  </w:num>
  <w:num w:numId="2">
    <w:abstractNumId w:val="1"/>
  </w:num>
  <w:num w:numId="3">
    <w:abstractNumId w:val="4"/>
  </w:num>
  <w:num w:numId="4">
    <w:abstractNumId w:val="5"/>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2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10AAE"/>
    <w:rsid w:val="000118BE"/>
    <w:rsid w:val="00012536"/>
    <w:rsid w:val="00013502"/>
    <w:rsid w:val="00022EFA"/>
    <w:rsid w:val="000267D1"/>
    <w:rsid w:val="00030CB5"/>
    <w:rsid w:val="00034616"/>
    <w:rsid w:val="000361ED"/>
    <w:rsid w:val="00040CE1"/>
    <w:rsid w:val="00055CB1"/>
    <w:rsid w:val="0006063C"/>
    <w:rsid w:val="00061361"/>
    <w:rsid w:val="00072B03"/>
    <w:rsid w:val="000844CC"/>
    <w:rsid w:val="000A600F"/>
    <w:rsid w:val="000A7766"/>
    <w:rsid w:val="000B343E"/>
    <w:rsid w:val="000C235F"/>
    <w:rsid w:val="000C2A2F"/>
    <w:rsid w:val="000C3E46"/>
    <w:rsid w:val="000C6C56"/>
    <w:rsid w:val="000D2E5A"/>
    <w:rsid w:val="000E18AE"/>
    <w:rsid w:val="00103625"/>
    <w:rsid w:val="00104BBF"/>
    <w:rsid w:val="0011134A"/>
    <w:rsid w:val="00115BE4"/>
    <w:rsid w:val="00122FE4"/>
    <w:rsid w:val="00131600"/>
    <w:rsid w:val="001433CC"/>
    <w:rsid w:val="0015074B"/>
    <w:rsid w:val="00150ECC"/>
    <w:rsid w:val="00152886"/>
    <w:rsid w:val="00170745"/>
    <w:rsid w:val="00175036"/>
    <w:rsid w:val="00182AF8"/>
    <w:rsid w:val="00191DAC"/>
    <w:rsid w:val="001A7CEC"/>
    <w:rsid w:val="001B4187"/>
    <w:rsid w:val="001B50D8"/>
    <w:rsid w:val="001C4741"/>
    <w:rsid w:val="001D1E34"/>
    <w:rsid w:val="001E67E8"/>
    <w:rsid w:val="001F3ADA"/>
    <w:rsid w:val="001F6FCF"/>
    <w:rsid w:val="002048F5"/>
    <w:rsid w:val="002058ED"/>
    <w:rsid w:val="002074C6"/>
    <w:rsid w:val="00207A13"/>
    <w:rsid w:val="002317B3"/>
    <w:rsid w:val="00235007"/>
    <w:rsid w:val="00243B5E"/>
    <w:rsid w:val="00247B0E"/>
    <w:rsid w:val="00251DB2"/>
    <w:rsid w:val="0025648A"/>
    <w:rsid w:val="00264253"/>
    <w:rsid w:val="00274C95"/>
    <w:rsid w:val="00276A2F"/>
    <w:rsid w:val="00283956"/>
    <w:rsid w:val="00285343"/>
    <w:rsid w:val="00285E56"/>
    <w:rsid w:val="00292DA6"/>
    <w:rsid w:val="0029639D"/>
    <w:rsid w:val="002B3228"/>
    <w:rsid w:val="002B65F0"/>
    <w:rsid w:val="002B700C"/>
    <w:rsid w:val="002D0722"/>
    <w:rsid w:val="002E77A6"/>
    <w:rsid w:val="002F4647"/>
    <w:rsid w:val="003020EC"/>
    <w:rsid w:val="0030329A"/>
    <w:rsid w:val="00322D19"/>
    <w:rsid w:val="00326F90"/>
    <w:rsid w:val="00332559"/>
    <w:rsid w:val="00383154"/>
    <w:rsid w:val="0039079F"/>
    <w:rsid w:val="003B3C39"/>
    <w:rsid w:val="003B470D"/>
    <w:rsid w:val="003B6160"/>
    <w:rsid w:val="003C28BE"/>
    <w:rsid w:val="003E26E8"/>
    <w:rsid w:val="003E7A59"/>
    <w:rsid w:val="00402BE0"/>
    <w:rsid w:val="0040376A"/>
    <w:rsid w:val="0043153B"/>
    <w:rsid w:val="0043155A"/>
    <w:rsid w:val="004341FC"/>
    <w:rsid w:val="00481419"/>
    <w:rsid w:val="00486BE7"/>
    <w:rsid w:val="00492E3C"/>
    <w:rsid w:val="004945B1"/>
    <w:rsid w:val="0049582C"/>
    <w:rsid w:val="004A427B"/>
    <w:rsid w:val="004A4799"/>
    <w:rsid w:val="004A5659"/>
    <w:rsid w:val="004B61AC"/>
    <w:rsid w:val="004D6BB3"/>
    <w:rsid w:val="004E3B63"/>
    <w:rsid w:val="004F4A7D"/>
    <w:rsid w:val="00507540"/>
    <w:rsid w:val="00510443"/>
    <w:rsid w:val="005148D3"/>
    <w:rsid w:val="00522D0A"/>
    <w:rsid w:val="005302D1"/>
    <w:rsid w:val="00531506"/>
    <w:rsid w:val="00542D64"/>
    <w:rsid w:val="00560947"/>
    <w:rsid w:val="00562848"/>
    <w:rsid w:val="00562DBE"/>
    <w:rsid w:val="00564756"/>
    <w:rsid w:val="00571F8A"/>
    <w:rsid w:val="005869F0"/>
    <w:rsid w:val="00592D1C"/>
    <w:rsid w:val="00594B70"/>
    <w:rsid w:val="00595E60"/>
    <w:rsid w:val="005A051F"/>
    <w:rsid w:val="005A0618"/>
    <w:rsid w:val="005A56DE"/>
    <w:rsid w:val="005A7B27"/>
    <w:rsid w:val="005B1566"/>
    <w:rsid w:val="005B38A2"/>
    <w:rsid w:val="005E639F"/>
    <w:rsid w:val="005F1EE6"/>
    <w:rsid w:val="00607D57"/>
    <w:rsid w:val="00612345"/>
    <w:rsid w:val="00615FE9"/>
    <w:rsid w:val="00621E8D"/>
    <w:rsid w:val="00622983"/>
    <w:rsid w:val="00622BD3"/>
    <w:rsid w:val="00631433"/>
    <w:rsid w:val="006412F9"/>
    <w:rsid w:val="00660FCB"/>
    <w:rsid w:val="006661C0"/>
    <w:rsid w:val="006761E5"/>
    <w:rsid w:val="006818DE"/>
    <w:rsid w:val="00691C1C"/>
    <w:rsid w:val="006929AF"/>
    <w:rsid w:val="006A11F5"/>
    <w:rsid w:val="006A4065"/>
    <w:rsid w:val="006A4BE4"/>
    <w:rsid w:val="006D4142"/>
    <w:rsid w:val="006D4680"/>
    <w:rsid w:val="006E0A84"/>
    <w:rsid w:val="006F18EA"/>
    <w:rsid w:val="00705D57"/>
    <w:rsid w:val="007130DD"/>
    <w:rsid w:val="00720980"/>
    <w:rsid w:val="00731B20"/>
    <w:rsid w:val="00731B8D"/>
    <w:rsid w:val="00735656"/>
    <w:rsid w:val="007448AC"/>
    <w:rsid w:val="00752901"/>
    <w:rsid w:val="007531A2"/>
    <w:rsid w:val="007576BF"/>
    <w:rsid w:val="00762784"/>
    <w:rsid w:val="007803B5"/>
    <w:rsid w:val="00781F74"/>
    <w:rsid w:val="00784523"/>
    <w:rsid w:val="00787B77"/>
    <w:rsid w:val="007B5B79"/>
    <w:rsid w:val="007B5D3F"/>
    <w:rsid w:val="007B6910"/>
    <w:rsid w:val="007B6D07"/>
    <w:rsid w:val="007C3C6E"/>
    <w:rsid w:val="007C7FBB"/>
    <w:rsid w:val="007D20AE"/>
    <w:rsid w:val="007E3536"/>
    <w:rsid w:val="007E5416"/>
    <w:rsid w:val="007F0492"/>
    <w:rsid w:val="007F0A7C"/>
    <w:rsid w:val="007F3124"/>
    <w:rsid w:val="00801101"/>
    <w:rsid w:val="00814314"/>
    <w:rsid w:val="00814CED"/>
    <w:rsid w:val="0081528C"/>
    <w:rsid w:val="008152E0"/>
    <w:rsid w:val="00825D98"/>
    <w:rsid w:val="008436E6"/>
    <w:rsid w:val="008477BB"/>
    <w:rsid w:val="00853975"/>
    <w:rsid w:val="00860C25"/>
    <w:rsid w:val="00861590"/>
    <w:rsid w:val="008652C3"/>
    <w:rsid w:val="0087195D"/>
    <w:rsid w:val="008736C2"/>
    <w:rsid w:val="008758A2"/>
    <w:rsid w:val="008907E7"/>
    <w:rsid w:val="008A04B3"/>
    <w:rsid w:val="008A6F3E"/>
    <w:rsid w:val="008B3C91"/>
    <w:rsid w:val="008B5950"/>
    <w:rsid w:val="008C5D8D"/>
    <w:rsid w:val="008F51C3"/>
    <w:rsid w:val="008F5921"/>
    <w:rsid w:val="008F7582"/>
    <w:rsid w:val="009044E8"/>
    <w:rsid w:val="00907FF2"/>
    <w:rsid w:val="00923163"/>
    <w:rsid w:val="00940FE9"/>
    <w:rsid w:val="0094119D"/>
    <w:rsid w:val="009442BA"/>
    <w:rsid w:val="00947DFE"/>
    <w:rsid w:val="00952E64"/>
    <w:rsid w:val="009723E1"/>
    <w:rsid w:val="0098317C"/>
    <w:rsid w:val="00983881"/>
    <w:rsid w:val="00992111"/>
    <w:rsid w:val="00992A28"/>
    <w:rsid w:val="00997D30"/>
    <w:rsid w:val="009B62AE"/>
    <w:rsid w:val="009C3F67"/>
    <w:rsid w:val="009D0AE9"/>
    <w:rsid w:val="009D6FF4"/>
    <w:rsid w:val="009F12D4"/>
    <w:rsid w:val="009F50B3"/>
    <w:rsid w:val="009F5639"/>
    <w:rsid w:val="00A07028"/>
    <w:rsid w:val="00A105E3"/>
    <w:rsid w:val="00A1645C"/>
    <w:rsid w:val="00A1773C"/>
    <w:rsid w:val="00A31F66"/>
    <w:rsid w:val="00A36926"/>
    <w:rsid w:val="00A56A51"/>
    <w:rsid w:val="00A70F61"/>
    <w:rsid w:val="00A711C8"/>
    <w:rsid w:val="00A86E52"/>
    <w:rsid w:val="00A872ED"/>
    <w:rsid w:val="00A95465"/>
    <w:rsid w:val="00AA0197"/>
    <w:rsid w:val="00AA0628"/>
    <w:rsid w:val="00AA1D8D"/>
    <w:rsid w:val="00AA1D9F"/>
    <w:rsid w:val="00AB1025"/>
    <w:rsid w:val="00AC2296"/>
    <w:rsid w:val="00AC4D0D"/>
    <w:rsid w:val="00AC6606"/>
    <w:rsid w:val="00AD0D25"/>
    <w:rsid w:val="00AD7961"/>
    <w:rsid w:val="00AD7D96"/>
    <w:rsid w:val="00AE5E4E"/>
    <w:rsid w:val="00AE77D6"/>
    <w:rsid w:val="00B03F9A"/>
    <w:rsid w:val="00B11F86"/>
    <w:rsid w:val="00B12483"/>
    <w:rsid w:val="00B14DDC"/>
    <w:rsid w:val="00B15440"/>
    <w:rsid w:val="00B30F0E"/>
    <w:rsid w:val="00B33007"/>
    <w:rsid w:val="00B44F2A"/>
    <w:rsid w:val="00B47344"/>
    <w:rsid w:val="00B47730"/>
    <w:rsid w:val="00B508C2"/>
    <w:rsid w:val="00B554DB"/>
    <w:rsid w:val="00B57184"/>
    <w:rsid w:val="00B72190"/>
    <w:rsid w:val="00BA3AE5"/>
    <w:rsid w:val="00BB0920"/>
    <w:rsid w:val="00BB2342"/>
    <w:rsid w:val="00BD22EB"/>
    <w:rsid w:val="00BD4682"/>
    <w:rsid w:val="00BE5E66"/>
    <w:rsid w:val="00BF5AF6"/>
    <w:rsid w:val="00C0691A"/>
    <w:rsid w:val="00C30E6B"/>
    <w:rsid w:val="00C352C6"/>
    <w:rsid w:val="00C42F57"/>
    <w:rsid w:val="00C509EE"/>
    <w:rsid w:val="00C817AF"/>
    <w:rsid w:val="00C97678"/>
    <w:rsid w:val="00CA0D40"/>
    <w:rsid w:val="00CA46B9"/>
    <w:rsid w:val="00CA6467"/>
    <w:rsid w:val="00CB0664"/>
    <w:rsid w:val="00CD2D54"/>
    <w:rsid w:val="00CD3F43"/>
    <w:rsid w:val="00CD445C"/>
    <w:rsid w:val="00CF1684"/>
    <w:rsid w:val="00CF4F94"/>
    <w:rsid w:val="00CF6517"/>
    <w:rsid w:val="00D011C0"/>
    <w:rsid w:val="00D02EA8"/>
    <w:rsid w:val="00D12373"/>
    <w:rsid w:val="00D16FA2"/>
    <w:rsid w:val="00D2310D"/>
    <w:rsid w:val="00D264F9"/>
    <w:rsid w:val="00D3023B"/>
    <w:rsid w:val="00D43F45"/>
    <w:rsid w:val="00D55350"/>
    <w:rsid w:val="00D56876"/>
    <w:rsid w:val="00D606B6"/>
    <w:rsid w:val="00D63848"/>
    <w:rsid w:val="00D71545"/>
    <w:rsid w:val="00D72248"/>
    <w:rsid w:val="00D73630"/>
    <w:rsid w:val="00D80184"/>
    <w:rsid w:val="00D845CF"/>
    <w:rsid w:val="00D92B65"/>
    <w:rsid w:val="00DA3C72"/>
    <w:rsid w:val="00DA5C53"/>
    <w:rsid w:val="00DC54B6"/>
    <w:rsid w:val="00DD3BF9"/>
    <w:rsid w:val="00DD41FB"/>
    <w:rsid w:val="00DD7BD7"/>
    <w:rsid w:val="00E14803"/>
    <w:rsid w:val="00E16075"/>
    <w:rsid w:val="00E42CED"/>
    <w:rsid w:val="00E52B3F"/>
    <w:rsid w:val="00E65DF4"/>
    <w:rsid w:val="00E73872"/>
    <w:rsid w:val="00E754F7"/>
    <w:rsid w:val="00E84F71"/>
    <w:rsid w:val="00EA6569"/>
    <w:rsid w:val="00EA6BB2"/>
    <w:rsid w:val="00EA75D2"/>
    <w:rsid w:val="00EB2110"/>
    <w:rsid w:val="00EC7C58"/>
    <w:rsid w:val="00EE62D4"/>
    <w:rsid w:val="00EF0102"/>
    <w:rsid w:val="00EF1C12"/>
    <w:rsid w:val="00F0743A"/>
    <w:rsid w:val="00F10419"/>
    <w:rsid w:val="00F34042"/>
    <w:rsid w:val="00F417A7"/>
    <w:rsid w:val="00F5187C"/>
    <w:rsid w:val="00F603CA"/>
    <w:rsid w:val="00F61D5B"/>
    <w:rsid w:val="00F638B1"/>
    <w:rsid w:val="00F7392F"/>
    <w:rsid w:val="00F7546C"/>
    <w:rsid w:val="00FA5806"/>
    <w:rsid w:val="00FA6DB8"/>
    <w:rsid w:val="00FB3AED"/>
    <w:rsid w:val="00FB56E2"/>
    <w:rsid w:val="00FC050C"/>
    <w:rsid w:val="00FC693F"/>
    <w:rsid w:val="00FC6B6D"/>
    <w:rsid w:val="00FF0C1B"/>
    <w:rsid w:val="00FF16E3"/>
    <w:rsid w:val="00FF2FB6"/>
    <w:rsid w:val="00FF537E"/>
    <w:rsid w:val="0115530E"/>
    <w:rsid w:val="01170C55"/>
    <w:rsid w:val="014557C2"/>
    <w:rsid w:val="014852B3"/>
    <w:rsid w:val="015B4FE6"/>
    <w:rsid w:val="015E4AD6"/>
    <w:rsid w:val="01633E9B"/>
    <w:rsid w:val="01675739"/>
    <w:rsid w:val="01734F00"/>
    <w:rsid w:val="019E174B"/>
    <w:rsid w:val="01A93FA3"/>
    <w:rsid w:val="01BE7323"/>
    <w:rsid w:val="01CF1530"/>
    <w:rsid w:val="01E44FDB"/>
    <w:rsid w:val="01F36FCC"/>
    <w:rsid w:val="01FF3A7E"/>
    <w:rsid w:val="020B07BA"/>
    <w:rsid w:val="024E0ADE"/>
    <w:rsid w:val="02B96468"/>
    <w:rsid w:val="02BF3353"/>
    <w:rsid w:val="02CD1F13"/>
    <w:rsid w:val="02E8197C"/>
    <w:rsid w:val="02EB05EB"/>
    <w:rsid w:val="03031491"/>
    <w:rsid w:val="03341BF1"/>
    <w:rsid w:val="03375CA5"/>
    <w:rsid w:val="03582C41"/>
    <w:rsid w:val="037405E1"/>
    <w:rsid w:val="038C76D9"/>
    <w:rsid w:val="039E459B"/>
    <w:rsid w:val="03AE3AF3"/>
    <w:rsid w:val="03BB7FBE"/>
    <w:rsid w:val="042E029C"/>
    <w:rsid w:val="04433290"/>
    <w:rsid w:val="04473600"/>
    <w:rsid w:val="04B62533"/>
    <w:rsid w:val="04C609C8"/>
    <w:rsid w:val="05123C0E"/>
    <w:rsid w:val="05242382"/>
    <w:rsid w:val="055832EE"/>
    <w:rsid w:val="056A0DA6"/>
    <w:rsid w:val="05755BC8"/>
    <w:rsid w:val="05924D4E"/>
    <w:rsid w:val="05DD246D"/>
    <w:rsid w:val="05F23A3F"/>
    <w:rsid w:val="06287461"/>
    <w:rsid w:val="062B705F"/>
    <w:rsid w:val="06500E91"/>
    <w:rsid w:val="066A7A79"/>
    <w:rsid w:val="067F7FF0"/>
    <w:rsid w:val="06A45B31"/>
    <w:rsid w:val="06CA3834"/>
    <w:rsid w:val="06CE4C7D"/>
    <w:rsid w:val="06DF0467"/>
    <w:rsid w:val="07013F3A"/>
    <w:rsid w:val="071F6AB6"/>
    <w:rsid w:val="072A6C6B"/>
    <w:rsid w:val="073C1B74"/>
    <w:rsid w:val="07635B5C"/>
    <w:rsid w:val="079923C4"/>
    <w:rsid w:val="07F13FAE"/>
    <w:rsid w:val="080B2B96"/>
    <w:rsid w:val="0828199A"/>
    <w:rsid w:val="08471E20"/>
    <w:rsid w:val="087921F6"/>
    <w:rsid w:val="08AA0601"/>
    <w:rsid w:val="08B5322E"/>
    <w:rsid w:val="08B576D2"/>
    <w:rsid w:val="08D37B58"/>
    <w:rsid w:val="08F11B50"/>
    <w:rsid w:val="08FF6B9F"/>
    <w:rsid w:val="0935436E"/>
    <w:rsid w:val="094822F4"/>
    <w:rsid w:val="095073FA"/>
    <w:rsid w:val="09992B4F"/>
    <w:rsid w:val="09DC7A58"/>
    <w:rsid w:val="09E55D95"/>
    <w:rsid w:val="0A5847B8"/>
    <w:rsid w:val="0AA90B70"/>
    <w:rsid w:val="0AB47515"/>
    <w:rsid w:val="0AEE25C4"/>
    <w:rsid w:val="0AEF054D"/>
    <w:rsid w:val="0AF344E1"/>
    <w:rsid w:val="0B5A00BC"/>
    <w:rsid w:val="0BBC105E"/>
    <w:rsid w:val="0BE8099C"/>
    <w:rsid w:val="0BF0712E"/>
    <w:rsid w:val="0BFF2179"/>
    <w:rsid w:val="0C061FF2"/>
    <w:rsid w:val="0C4072B2"/>
    <w:rsid w:val="0C654F6B"/>
    <w:rsid w:val="0C743400"/>
    <w:rsid w:val="0C822728"/>
    <w:rsid w:val="0CA77331"/>
    <w:rsid w:val="0D4508F8"/>
    <w:rsid w:val="0D821B4C"/>
    <w:rsid w:val="0D907DC5"/>
    <w:rsid w:val="0DAE2941"/>
    <w:rsid w:val="0DDC59AD"/>
    <w:rsid w:val="0DF02F5A"/>
    <w:rsid w:val="0E065FCB"/>
    <w:rsid w:val="0E1C3D4F"/>
    <w:rsid w:val="0E4570C9"/>
    <w:rsid w:val="0E5232CD"/>
    <w:rsid w:val="0EEC54CF"/>
    <w:rsid w:val="0F0E18EA"/>
    <w:rsid w:val="0F225395"/>
    <w:rsid w:val="0F515C7A"/>
    <w:rsid w:val="0F543075"/>
    <w:rsid w:val="0F6239E3"/>
    <w:rsid w:val="0F7F57B8"/>
    <w:rsid w:val="0FBD6E6C"/>
    <w:rsid w:val="0FC55A86"/>
    <w:rsid w:val="0FCB06D7"/>
    <w:rsid w:val="0FD06B9F"/>
    <w:rsid w:val="0FE60171"/>
    <w:rsid w:val="103A670E"/>
    <w:rsid w:val="103C4234"/>
    <w:rsid w:val="103E1D5B"/>
    <w:rsid w:val="1041184B"/>
    <w:rsid w:val="10AB7E22"/>
    <w:rsid w:val="10B4026F"/>
    <w:rsid w:val="10BC0829"/>
    <w:rsid w:val="111725AC"/>
    <w:rsid w:val="113849FC"/>
    <w:rsid w:val="11496C09"/>
    <w:rsid w:val="116752E1"/>
    <w:rsid w:val="117874EE"/>
    <w:rsid w:val="11877731"/>
    <w:rsid w:val="118B5473"/>
    <w:rsid w:val="11914EBF"/>
    <w:rsid w:val="11BD13A5"/>
    <w:rsid w:val="11CB1D14"/>
    <w:rsid w:val="11D64215"/>
    <w:rsid w:val="11FC3C7B"/>
    <w:rsid w:val="12075209"/>
    <w:rsid w:val="120F1EA3"/>
    <w:rsid w:val="12110E76"/>
    <w:rsid w:val="121E1726"/>
    <w:rsid w:val="12315932"/>
    <w:rsid w:val="123C49C0"/>
    <w:rsid w:val="126804C1"/>
    <w:rsid w:val="12883761"/>
    <w:rsid w:val="12981CFB"/>
    <w:rsid w:val="129E28D1"/>
    <w:rsid w:val="12A32349"/>
    <w:rsid w:val="12B02CB8"/>
    <w:rsid w:val="12B26A30"/>
    <w:rsid w:val="12CD73C6"/>
    <w:rsid w:val="13143247"/>
    <w:rsid w:val="1344460D"/>
    <w:rsid w:val="1367781A"/>
    <w:rsid w:val="13B46C7E"/>
    <w:rsid w:val="13BB238F"/>
    <w:rsid w:val="13BF31B2"/>
    <w:rsid w:val="13D42AEF"/>
    <w:rsid w:val="140A468A"/>
    <w:rsid w:val="141334FE"/>
    <w:rsid w:val="141F6347"/>
    <w:rsid w:val="143C4803"/>
    <w:rsid w:val="14872912"/>
    <w:rsid w:val="149A3C1F"/>
    <w:rsid w:val="14AB7BDB"/>
    <w:rsid w:val="14B44CE1"/>
    <w:rsid w:val="14D02C0A"/>
    <w:rsid w:val="14DA1D93"/>
    <w:rsid w:val="153B4ABB"/>
    <w:rsid w:val="154A2F50"/>
    <w:rsid w:val="15616AAE"/>
    <w:rsid w:val="15806971"/>
    <w:rsid w:val="15910B7E"/>
    <w:rsid w:val="15B4486D"/>
    <w:rsid w:val="15BB5BFB"/>
    <w:rsid w:val="15EC04AB"/>
    <w:rsid w:val="16210154"/>
    <w:rsid w:val="16445BF1"/>
    <w:rsid w:val="16852D9F"/>
    <w:rsid w:val="16A20B69"/>
    <w:rsid w:val="16BC7E7D"/>
    <w:rsid w:val="16C94348"/>
    <w:rsid w:val="16D36DA0"/>
    <w:rsid w:val="1700420E"/>
    <w:rsid w:val="171C091C"/>
    <w:rsid w:val="17254D7D"/>
    <w:rsid w:val="174560C4"/>
    <w:rsid w:val="17854713"/>
    <w:rsid w:val="17E3141C"/>
    <w:rsid w:val="18316649"/>
    <w:rsid w:val="19234638"/>
    <w:rsid w:val="194B54E8"/>
    <w:rsid w:val="19766A09"/>
    <w:rsid w:val="199B1FCC"/>
    <w:rsid w:val="19B07BE2"/>
    <w:rsid w:val="19B10745"/>
    <w:rsid w:val="19BE215E"/>
    <w:rsid w:val="19C5529B"/>
    <w:rsid w:val="1A351C20"/>
    <w:rsid w:val="1A4F3B08"/>
    <w:rsid w:val="1A5328A6"/>
    <w:rsid w:val="1A6E695D"/>
    <w:rsid w:val="1AD96558"/>
    <w:rsid w:val="1ADC6D40"/>
    <w:rsid w:val="1AE856E5"/>
    <w:rsid w:val="1AEB0D31"/>
    <w:rsid w:val="1AFA70AE"/>
    <w:rsid w:val="1B0E4A1F"/>
    <w:rsid w:val="1B2E3ECD"/>
    <w:rsid w:val="1B360295"/>
    <w:rsid w:val="1BB750B7"/>
    <w:rsid w:val="1BBC03FC"/>
    <w:rsid w:val="1BBC061B"/>
    <w:rsid w:val="1BCC0B62"/>
    <w:rsid w:val="1C054074"/>
    <w:rsid w:val="1C0C71B1"/>
    <w:rsid w:val="1C6074FD"/>
    <w:rsid w:val="1C735482"/>
    <w:rsid w:val="1CBD66FD"/>
    <w:rsid w:val="1CC950A2"/>
    <w:rsid w:val="1CE06116"/>
    <w:rsid w:val="1D0F242B"/>
    <w:rsid w:val="1D61177E"/>
    <w:rsid w:val="1D6D50D7"/>
    <w:rsid w:val="1D756FD8"/>
    <w:rsid w:val="1D7B2840"/>
    <w:rsid w:val="1D807E56"/>
    <w:rsid w:val="1D862F93"/>
    <w:rsid w:val="1D9064E1"/>
    <w:rsid w:val="1DBA49EB"/>
    <w:rsid w:val="1DC15D79"/>
    <w:rsid w:val="1DD43CFE"/>
    <w:rsid w:val="1DE8432D"/>
    <w:rsid w:val="1DEA52D0"/>
    <w:rsid w:val="1DFB73D1"/>
    <w:rsid w:val="1DFD6804"/>
    <w:rsid w:val="1E03430E"/>
    <w:rsid w:val="1E15631C"/>
    <w:rsid w:val="1E1B4558"/>
    <w:rsid w:val="1E480248"/>
    <w:rsid w:val="1E8B6B43"/>
    <w:rsid w:val="1E8C45D9"/>
    <w:rsid w:val="1ED16069"/>
    <w:rsid w:val="1F226CEB"/>
    <w:rsid w:val="1F3D58D3"/>
    <w:rsid w:val="1F696A37"/>
    <w:rsid w:val="1FDE70B6"/>
    <w:rsid w:val="205639A3"/>
    <w:rsid w:val="20631369"/>
    <w:rsid w:val="20C0056A"/>
    <w:rsid w:val="20EB5A13"/>
    <w:rsid w:val="21224D81"/>
    <w:rsid w:val="21585BEA"/>
    <w:rsid w:val="216C787B"/>
    <w:rsid w:val="21771570"/>
    <w:rsid w:val="217C0935"/>
    <w:rsid w:val="2185702E"/>
    <w:rsid w:val="21937A2C"/>
    <w:rsid w:val="21D342CD"/>
    <w:rsid w:val="21D95D87"/>
    <w:rsid w:val="21F20BF7"/>
    <w:rsid w:val="220821C8"/>
    <w:rsid w:val="22574EFE"/>
    <w:rsid w:val="225F35EB"/>
    <w:rsid w:val="22631AF5"/>
    <w:rsid w:val="226B47DC"/>
    <w:rsid w:val="22947F00"/>
    <w:rsid w:val="229E0D7F"/>
    <w:rsid w:val="22B3482A"/>
    <w:rsid w:val="22BD1205"/>
    <w:rsid w:val="22CE5255"/>
    <w:rsid w:val="23040BE2"/>
    <w:rsid w:val="232F0909"/>
    <w:rsid w:val="23333275"/>
    <w:rsid w:val="235F22BC"/>
    <w:rsid w:val="237A70F6"/>
    <w:rsid w:val="23BF2D5B"/>
    <w:rsid w:val="23C31C16"/>
    <w:rsid w:val="23E30680"/>
    <w:rsid w:val="23E97DD8"/>
    <w:rsid w:val="23F649CA"/>
    <w:rsid w:val="240B1FA6"/>
    <w:rsid w:val="241B1B9D"/>
    <w:rsid w:val="24217571"/>
    <w:rsid w:val="242B219E"/>
    <w:rsid w:val="2446522A"/>
    <w:rsid w:val="24681644"/>
    <w:rsid w:val="247C11C7"/>
    <w:rsid w:val="247D52D1"/>
    <w:rsid w:val="249D12EE"/>
    <w:rsid w:val="24BC2D6B"/>
    <w:rsid w:val="250F1AC0"/>
    <w:rsid w:val="251D5F8B"/>
    <w:rsid w:val="25754019"/>
    <w:rsid w:val="25A80A4A"/>
    <w:rsid w:val="25D86356"/>
    <w:rsid w:val="25E1345C"/>
    <w:rsid w:val="261F3F85"/>
    <w:rsid w:val="26280DF4"/>
    <w:rsid w:val="263C4B36"/>
    <w:rsid w:val="265C2AE3"/>
    <w:rsid w:val="268026C4"/>
    <w:rsid w:val="269476BF"/>
    <w:rsid w:val="26B66697"/>
    <w:rsid w:val="26CD1C32"/>
    <w:rsid w:val="26EE194D"/>
    <w:rsid w:val="26F96584"/>
    <w:rsid w:val="272C4BAB"/>
    <w:rsid w:val="27641EAD"/>
    <w:rsid w:val="276854B7"/>
    <w:rsid w:val="278247CB"/>
    <w:rsid w:val="279D7857"/>
    <w:rsid w:val="27AD69B9"/>
    <w:rsid w:val="27B01338"/>
    <w:rsid w:val="27E86D24"/>
    <w:rsid w:val="27EE6285"/>
    <w:rsid w:val="27F0200E"/>
    <w:rsid w:val="2818512F"/>
    <w:rsid w:val="28243AD4"/>
    <w:rsid w:val="283E2028"/>
    <w:rsid w:val="28473289"/>
    <w:rsid w:val="286B1703"/>
    <w:rsid w:val="287265EE"/>
    <w:rsid w:val="28C64B8B"/>
    <w:rsid w:val="28CB3F50"/>
    <w:rsid w:val="28D472A8"/>
    <w:rsid w:val="29283150"/>
    <w:rsid w:val="2976210D"/>
    <w:rsid w:val="2984482A"/>
    <w:rsid w:val="29E74DB9"/>
    <w:rsid w:val="2A4E4E38"/>
    <w:rsid w:val="2A691C72"/>
    <w:rsid w:val="2A895E70"/>
    <w:rsid w:val="2A8D5961"/>
    <w:rsid w:val="2AA131BA"/>
    <w:rsid w:val="2AAD1B5F"/>
    <w:rsid w:val="2AAF34FE"/>
    <w:rsid w:val="2ACB6489"/>
    <w:rsid w:val="2AEA4B61"/>
    <w:rsid w:val="2AF7044A"/>
    <w:rsid w:val="2B41674B"/>
    <w:rsid w:val="2B465B0F"/>
    <w:rsid w:val="2B5C5333"/>
    <w:rsid w:val="2B65243A"/>
    <w:rsid w:val="2B68354E"/>
    <w:rsid w:val="2B9D6077"/>
    <w:rsid w:val="2BD55811"/>
    <w:rsid w:val="2BEF61A7"/>
    <w:rsid w:val="2BF832AE"/>
    <w:rsid w:val="2C0C0291"/>
    <w:rsid w:val="2C3047F6"/>
    <w:rsid w:val="2C5A1872"/>
    <w:rsid w:val="2C6D5A4A"/>
    <w:rsid w:val="2CA86CA3"/>
    <w:rsid w:val="2CB05936"/>
    <w:rsid w:val="2CD21D51"/>
    <w:rsid w:val="2CDE24A4"/>
    <w:rsid w:val="2D2325AC"/>
    <w:rsid w:val="2D274350"/>
    <w:rsid w:val="2D320A41"/>
    <w:rsid w:val="2D9C5EBB"/>
    <w:rsid w:val="2DAA05D8"/>
    <w:rsid w:val="2DFA155F"/>
    <w:rsid w:val="2E262354"/>
    <w:rsid w:val="2E325683"/>
    <w:rsid w:val="2E3305CD"/>
    <w:rsid w:val="2E3F01CD"/>
    <w:rsid w:val="2E514EF7"/>
    <w:rsid w:val="2E613F61"/>
    <w:rsid w:val="2E682FCF"/>
    <w:rsid w:val="2E766E81"/>
    <w:rsid w:val="2ECF360C"/>
    <w:rsid w:val="2EE5675B"/>
    <w:rsid w:val="2EE93382"/>
    <w:rsid w:val="2EF266DA"/>
    <w:rsid w:val="2F155D6A"/>
    <w:rsid w:val="2F414F6C"/>
    <w:rsid w:val="2F595531"/>
    <w:rsid w:val="2F67235B"/>
    <w:rsid w:val="2F7114C9"/>
    <w:rsid w:val="2F7E7F6E"/>
    <w:rsid w:val="2F996B56"/>
    <w:rsid w:val="2FB44801"/>
    <w:rsid w:val="2FB63264"/>
    <w:rsid w:val="2FC516F9"/>
    <w:rsid w:val="300C7328"/>
    <w:rsid w:val="30183F1E"/>
    <w:rsid w:val="3069482A"/>
    <w:rsid w:val="30AE4883"/>
    <w:rsid w:val="30C61BCC"/>
    <w:rsid w:val="30FA3624"/>
    <w:rsid w:val="310426F5"/>
    <w:rsid w:val="310D77FB"/>
    <w:rsid w:val="313B4368"/>
    <w:rsid w:val="31413001"/>
    <w:rsid w:val="315C7E3B"/>
    <w:rsid w:val="3179279B"/>
    <w:rsid w:val="31903F88"/>
    <w:rsid w:val="31AB491E"/>
    <w:rsid w:val="31D11C96"/>
    <w:rsid w:val="323D5EBE"/>
    <w:rsid w:val="326351F9"/>
    <w:rsid w:val="32C2182A"/>
    <w:rsid w:val="32DA54BB"/>
    <w:rsid w:val="32F02F31"/>
    <w:rsid w:val="32F742BF"/>
    <w:rsid w:val="32F83B93"/>
    <w:rsid w:val="333746BC"/>
    <w:rsid w:val="33723946"/>
    <w:rsid w:val="33811DDB"/>
    <w:rsid w:val="33854BAB"/>
    <w:rsid w:val="33895B66"/>
    <w:rsid w:val="33997124"/>
    <w:rsid w:val="33A1422B"/>
    <w:rsid w:val="3420011D"/>
    <w:rsid w:val="344277BC"/>
    <w:rsid w:val="344C417A"/>
    <w:rsid w:val="344E43B3"/>
    <w:rsid w:val="348A1163"/>
    <w:rsid w:val="34B65AB4"/>
    <w:rsid w:val="34CC52D7"/>
    <w:rsid w:val="34D67F04"/>
    <w:rsid w:val="34EB4257"/>
    <w:rsid w:val="34FD7B87"/>
    <w:rsid w:val="3519774E"/>
    <w:rsid w:val="35454721"/>
    <w:rsid w:val="35492DCC"/>
    <w:rsid w:val="35C30488"/>
    <w:rsid w:val="35F03248"/>
    <w:rsid w:val="3619279E"/>
    <w:rsid w:val="362F4E55"/>
    <w:rsid w:val="36346DFE"/>
    <w:rsid w:val="369A15E0"/>
    <w:rsid w:val="36B81FB7"/>
    <w:rsid w:val="36EA5EE9"/>
    <w:rsid w:val="36F34D9D"/>
    <w:rsid w:val="36F86858"/>
    <w:rsid w:val="375515B4"/>
    <w:rsid w:val="376932B2"/>
    <w:rsid w:val="37A442EA"/>
    <w:rsid w:val="37B3452D"/>
    <w:rsid w:val="37EB2C4F"/>
    <w:rsid w:val="37F214F9"/>
    <w:rsid w:val="37FA03AE"/>
    <w:rsid w:val="3803406C"/>
    <w:rsid w:val="380B25BB"/>
    <w:rsid w:val="382B67B9"/>
    <w:rsid w:val="38563E07"/>
    <w:rsid w:val="388F0AF6"/>
    <w:rsid w:val="38A071A7"/>
    <w:rsid w:val="38BE7844"/>
    <w:rsid w:val="38C641BE"/>
    <w:rsid w:val="38DC3A2B"/>
    <w:rsid w:val="39115ED7"/>
    <w:rsid w:val="392151BB"/>
    <w:rsid w:val="394704B1"/>
    <w:rsid w:val="394A250A"/>
    <w:rsid w:val="39613805"/>
    <w:rsid w:val="39643D30"/>
    <w:rsid w:val="396C7089"/>
    <w:rsid w:val="398E5251"/>
    <w:rsid w:val="39E9692C"/>
    <w:rsid w:val="39FE4152"/>
    <w:rsid w:val="3A045513"/>
    <w:rsid w:val="3A06303A"/>
    <w:rsid w:val="3A4D2A17"/>
    <w:rsid w:val="3A791A5E"/>
    <w:rsid w:val="3AB01921"/>
    <w:rsid w:val="3AEC66D3"/>
    <w:rsid w:val="3B194FEF"/>
    <w:rsid w:val="3B224106"/>
    <w:rsid w:val="3B4C2CCE"/>
    <w:rsid w:val="3B5129DA"/>
    <w:rsid w:val="3B806E1C"/>
    <w:rsid w:val="3BAC19BF"/>
    <w:rsid w:val="3BCC3E0F"/>
    <w:rsid w:val="3C073099"/>
    <w:rsid w:val="3C090BBF"/>
    <w:rsid w:val="3C1E28BD"/>
    <w:rsid w:val="3C326368"/>
    <w:rsid w:val="3C424FBF"/>
    <w:rsid w:val="3CC176EC"/>
    <w:rsid w:val="3CC367D8"/>
    <w:rsid w:val="3D0A6057"/>
    <w:rsid w:val="3D1617E6"/>
    <w:rsid w:val="3D524CBE"/>
    <w:rsid w:val="3D600CB3"/>
    <w:rsid w:val="3D7E17DF"/>
    <w:rsid w:val="3D7F382F"/>
    <w:rsid w:val="3DBB413B"/>
    <w:rsid w:val="3DD443B6"/>
    <w:rsid w:val="3DDD67A7"/>
    <w:rsid w:val="3E067AAC"/>
    <w:rsid w:val="3E1C47FE"/>
    <w:rsid w:val="3E6B790F"/>
    <w:rsid w:val="3EB72B54"/>
    <w:rsid w:val="3ED01E68"/>
    <w:rsid w:val="3F0833B0"/>
    <w:rsid w:val="3F0B4C4E"/>
    <w:rsid w:val="3F1B30E3"/>
    <w:rsid w:val="3F3B5533"/>
    <w:rsid w:val="3F516B05"/>
    <w:rsid w:val="3F9D450B"/>
    <w:rsid w:val="3FA4132B"/>
    <w:rsid w:val="3FD21E14"/>
    <w:rsid w:val="3FD77A00"/>
    <w:rsid w:val="3FE71217"/>
    <w:rsid w:val="3FF83425"/>
    <w:rsid w:val="40550877"/>
    <w:rsid w:val="40632F94"/>
    <w:rsid w:val="409C30B0"/>
    <w:rsid w:val="40B25CC9"/>
    <w:rsid w:val="40D21EC7"/>
    <w:rsid w:val="40EA2833"/>
    <w:rsid w:val="40ED4F53"/>
    <w:rsid w:val="412A5860"/>
    <w:rsid w:val="412F65D1"/>
    <w:rsid w:val="41444FBD"/>
    <w:rsid w:val="41526B64"/>
    <w:rsid w:val="41596145"/>
    <w:rsid w:val="41601D0F"/>
    <w:rsid w:val="416E7E42"/>
    <w:rsid w:val="417E7959"/>
    <w:rsid w:val="41866EE7"/>
    <w:rsid w:val="41AD023F"/>
    <w:rsid w:val="41EC0D67"/>
    <w:rsid w:val="41F61BE6"/>
    <w:rsid w:val="42051E29"/>
    <w:rsid w:val="42072DA1"/>
    <w:rsid w:val="422410E7"/>
    <w:rsid w:val="4269060A"/>
    <w:rsid w:val="426923B8"/>
    <w:rsid w:val="42892A5A"/>
    <w:rsid w:val="428E0070"/>
    <w:rsid w:val="42903DE8"/>
    <w:rsid w:val="42EA36DD"/>
    <w:rsid w:val="431B5DA8"/>
    <w:rsid w:val="431F420D"/>
    <w:rsid w:val="43370708"/>
    <w:rsid w:val="43543068"/>
    <w:rsid w:val="43FF1225"/>
    <w:rsid w:val="443E257D"/>
    <w:rsid w:val="444529B0"/>
    <w:rsid w:val="448A4586"/>
    <w:rsid w:val="44915BF6"/>
    <w:rsid w:val="44C97D4C"/>
    <w:rsid w:val="44CB55AC"/>
    <w:rsid w:val="44D75CFE"/>
    <w:rsid w:val="453054C5"/>
    <w:rsid w:val="45605CF4"/>
    <w:rsid w:val="45800144"/>
    <w:rsid w:val="45801B6B"/>
    <w:rsid w:val="45973A65"/>
    <w:rsid w:val="45A00121"/>
    <w:rsid w:val="45A91659"/>
    <w:rsid w:val="45EC7588"/>
    <w:rsid w:val="46032B23"/>
    <w:rsid w:val="46445615"/>
    <w:rsid w:val="464C0026"/>
    <w:rsid w:val="464E1FF0"/>
    <w:rsid w:val="46C2619D"/>
    <w:rsid w:val="46C67DD9"/>
    <w:rsid w:val="46D52711"/>
    <w:rsid w:val="46E14C12"/>
    <w:rsid w:val="4710374A"/>
    <w:rsid w:val="471E1235"/>
    <w:rsid w:val="47213261"/>
    <w:rsid w:val="472F1E22"/>
    <w:rsid w:val="4792415F"/>
    <w:rsid w:val="479C322F"/>
    <w:rsid w:val="47AA594C"/>
    <w:rsid w:val="47C562E2"/>
    <w:rsid w:val="480E5EDB"/>
    <w:rsid w:val="480F3A01"/>
    <w:rsid w:val="48396CD0"/>
    <w:rsid w:val="48455675"/>
    <w:rsid w:val="48580F04"/>
    <w:rsid w:val="486618BA"/>
    <w:rsid w:val="48981C49"/>
    <w:rsid w:val="48AC2FFE"/>
    <w:rsid w:val="48CE6637"/>
    <w:rsid w:val="48DE1AEC"/>
    <w:rsid w:val="48E1714C"/>
    <w:rsid w:val="48E94252"/>
    <w:rsid w:val="48EC5AF0"/>
    <w:rsid w:val="48F826E7"/>
    <w:rsid w:val="4900334A"/>
    <w:rsid w:val="492B486B"/>
    <w:rsid w:val="49425710"/>
    <w:rsid w:val="495F4514"/>
    <w:rsid w:val="49F904C5"/>
    <w:rsid w:val="4A121587"/>
    <w:rsid w:val="4A5E2A1E"/>
    <w:rsid w:val="4A7A4BEA"/>
    <w:rsid w:val="4A934476"/>
    <w:rsid w:val="4ABA5EA6"/>
    <w:rsid w:val="4ACC7988"/>
    <w:rsid w:val="4AD30D16"/>
    <w:rsid w:val="4AE66B80"/>
    <w:rsid w:val="4AE7656F"/>
    <w:rsid w:val="4AEF3676"/>
    <w:rsid w:val="4B3F63AB"/>
    <w:rsid w:val="4B8D35BB"/>
    <w:rsid w:val="4BA10E14"/>
    <w:rsid w:val="4BB02E05"/>
    <w:rsid w:val="4BC7402D"/>
    <w:rsid w:val="4BFB49C8"/>
    <w:rsid w:val="4C215AB1"/>
    <w:rsid w:val="4C2F01CE"/>
    <w:rsid w:val="4C416153"/>
    <w:rsid w:val="4C4A14AC"/>
    <w:rsid w:val="4C99554E"/>
    <w:rsid w:val="4CA27002"/>
    <w:rsid w:val="4CBB4158"/>
    <w:rsid w:val="4CD6689C"/>
    <w:rsid w:val="4CD903CF"/>
    <w:rsid w:val="4CE74FC6"/>
    <w:rsid w:val="4CEA0599"/>
    <w:rsid w:val="4CFB4554"/>
    <w:rsid w:val="4D2E2B7B"/>
    <w:rsid w:val="4D6B16DA"/>
    <w:rsid w:val="4D826A23"/>
    <w:rsid w:val="4DAD3AA0"/>
    <w:rsid w:val="4DCE1C69"/>
    <w:rsid w:val="4DEE5E67"/>
    <w:rsid w:val="4DF24E96"/>
    <w:rsid w:val="4E467A51"/>
    <w:rsid w:val="4E4D5283"/>
    <w:rsid w:val="4E6A1991"/>
    <w:rsid w:val="4EA728D7"/>
    <w:rsid w:val="4EAD5C0E"/>
    <w:rsid w:val="4EC07803"/>
    <w:rsid w:val="4EC42815"/>
    <w:rsid w:val="4EC5306C"/>
    <w:rsid w:val="4ED84B4D"/>
    <w:rsid w:val="4EEC23A6"/>
    <w:rsid w:val="4EFF385F"/>
    <w:rsid w:val="4F0F2539"/>
    <w:rsid w:val="4F4E12B3"/>
    <w:rsid w:val="4F5148FF"/>
    <w:rsid w:val="4FB31116"/>
    <w:rsid w:val="4FB530E0"/>
    <w:rsid w:val="4FF14140"/>
    <w:rsid w:val="4FFD15ED"/>
    <w:rsid w:val="502C5100"/>
    <w:rsid w:val="50566671"/>
    <w:rsid w:val="50EF2622"/>
    <w:rsid w:val="50FC089B"/>
    <w:rsid w:val="5113318E"/>
    <w:rsid w:val="514F30C0"/>
    <w:rsid w:val="515D758B"/>
    <w:rsid w:val="5160707C"/>
    <w:rsid w:val="516C436B"/>
    <w:rsid w:val="51A12630"/>
    <w:rsid w:val="51A258E6"/>
    <w:rsid w:val="51A46F68"/>
    <w:rsid w:val="52045C59"/>
    <w:rsid w:val="52466271"/>
    <w:rsid w:val="5248023B"/>
    <w:rsid w:val="52497B10"/>
    <w:rsid w:val="525E7A5F"/>
    <w:rsid w:val="52634497"/>
    <w:rsid w:val="5294522F"/>
    <w:rsid w:val="52952D55"/>
    <w:rsid w:val="52A1794C"/>
    <w:rsid w:val="52BB569C"/>
    <w:rsid w:val="52D23FA9"/>
    <w:rsid w:val="52F45CCD"/>
    <w:rsid w:val="52F67C97"/>
    <w:rsid w:val="531B4789"/>
    <w:rsid w:val="53206AC2"/>
    <w:rsid w:val="535C1095"/>
    <w:rsid w:val="538708F0"/>
    <w:rsid w:val="53B316E5"/>
    <w:rsid w:val="53CE4770"/>
    <w:rsid w:val="53D13424"/>
    <w:rsid w:val="53FF4E30"/>
    <w:rsid w:val="540B2405"/>
    <w:rsid w:val="541D74A6"/>
    <w:rsid w:val="544B78E9"/>
    <w:rsid w:val="545F36D5"/>
    <w:rsid w:val="54A83213"/>
    <w:rsid w:val="54D2203E"/>
    <w:rsid w:val="54DC2EBD"/>
    <w:rsid w:val="54E22DEA"/>
    <w:rsid w:val="55085A60"/>
    <w:rsid w:val="55124B31"/>
    <w:rsid w:val="55216B22"/>
    <w:rsid w:val="55A21A11"/>
    <w:rsid w:val="55A439DB"/>
    <w:rsid w:val="55B41744"/>
    <w:rsid w:val="55EA0E79"/>
    <w:rsid w:val="55F14746"/>
    <w:rsid w:val="561D19DF"/>
    <w:rsid w:val="56435F3C"/>
    <w:rsid w:val="5647080A"/>
    <w:rsid w:val="56551179"/>
    <w:rsid w:val="56C23CCE"/>
    <w:rsid w:val="574B60D8"/>
    <w:rsid w:val="57572CCF"/>
    <w:rsid w:val="57596A47"/>
    <w:rsid w:val="579F6DCF"/>
    <w:rsid w:val="57A203EE"/>
    <w:rsid w:val="58136BF6"/>
    <w:rsid w:val="581D7A74"/>
    <w:rsid w:val="58247055"/>
    <w:rsid w:val="583E1BC3"/>
    <w:rsid w:val="58782F40"/>
    <w:rsid w:val="589046EA"/>
    <w:rsid w:val="58B33F35"/>
    <w:rsid w:val="58BC103B"/>
    <w:rsid w:val="58D07FAA"/>
    <w:rsid w:val="58DA174A"/>
    <w:rsid w:val="58E80D86"/>
    <w:rsid w:val="58ED5699"/>
    <w:rsid w:val="59083F15"/>
    <w:rsid w:val="590D7AE9"/>
    <w:rsid w:val="593908DE"/>
    <w:rsid w:val="59462FFB"/>
    <w:rsid w:val="595474C6"/>
    <w:rsid w:val="597C07CB"/>
    <w:rsid w:val="5986488D"/>
    <w:rsid w:val="598F04FE"/>
    <w:rsid w:val="59F20A8D"/>
    <w:rsid w:val="5A186745"/>
    <w:rsid w:val="5A201A9E"/>
    <w:rsid w:val="5A261B69"/>
    <w:rsid w:val="5A490FF5"/>
    <w:rsid w:val="5A767691"/>
    <w:rsid w:val="5A855465"/>
    <w:rsid w:val="5B3255E5"/>
    <w:rsid w:val="5B3A6B8F"/>
    <w:rsid w:val="5B490B80"/>
    <w:rsid w:val="5B6F4A8B"/>
    <w:rsid w:val="5B767320"/>
    <w:rsid w:val="5B7A6F8C"/>
    <w:rsid w:val="5BA74225"/>
    <w:rsid w:val="5BA83AF9"/>
    <w:rsid w:val="5BAA5AC3"/>
    <w:rsid w:val="5BCA607F"/>
    <w:rsid w:val="5BCD355F"/>
    <w:rsid w:val="5BCE5E90"/>
    <w:rsid w:val="5C013209"/>
    <w:rsid w:val="5C0F1DCA"/>
    <w:rsid w:val="5C2A3A08"/>
    <w:rsid w:val="5C9A78E6"/>
    <w:rsid w:val="5CA95D7B"/>
    <w:rsid w:val="5CB70498"/>
    <w:rsid w:val="5CF54B1C"/>
    <w:rsid w:val="5D072AA1"/>
    <w:rsid w:val="5D092AA9"/>
    <w:rsid w:val="5D3B6B7F"/>
    <w:rsid w:val="5D6F2B20"/>
    <w:rsid w:val="5D861592"/>
    <w:rsid w:val="5DAF21F0"/>
    <w:rsid w:val="5DB9023F"/>
    <w:rsid w:val="5DED1C97"/>
    <w:rsid w:val="5DF43025"/>
    <w:rsid w:val="5E0D54F7"/>
    <w:rsid w:val="5E603072"/>
    <w:rsid w:val="5E9B5B97"/>
    <w:rsid w:val="5EAF39FA"/>
    <w:rsid w:val="5F8108E9"/>
    <w:rsid w:val="5F8B1768"/>
    <w:rsid w:val="5F97635E"/>
    <w:rsid w:val="5FA6034F"/>
    <w:rsid w:val="5FAE7E95"/>
    <w:rsid w:val="5FC87FA7"/>
    <w:rsid w:val="5FCF737E"/>
    <w:rsid w:val="5FDC1FC3"/>
    <w:rsid w:val="5FEA2429"/>
    <w:rsid w:val="60017C7C"/>
    <w:rsid w:val="60327E35"/>
    <w:rsid w:val="60430294"/>
    <w:rsid w:val="605E6E7C"/>
    <w:rsid w:val="608F5287"/>
    <w:rsid w:val="60C03693"/>
    <w:rsid w:val="60E76E71"/>
    <w:rsid w:val="60F3366F"/>
    <w:rsid w:val="611759A9"/>
    <w:rsid w:val="611C2FBF"/>
    <w:rsid w:val="61442BA4"/>
    <w:rsid w:val="61471E39"/>
    <w:rsid w:val="6170330B"/>
    <w:rsid w:val="619D5782"/>
    <w:rsid w:val="61B41449"/>
    <w:rsid w:val="61BF1648"/>
    <w:rsid w:val="61CB22EF"/>
    <w:rsid w:val="61E94B73"/>
    <w:rsid w:val="62257C2B"/>
    <w:rsid w:val="625247BE"/>
    <w:rsid w:val="625A4188"/>
    <w:rsid w:val="627E7362"/>
    <w:rsid w:val="6285194D"/>
    <w:rsid w:val="628C5F22"/>
    <w:rsid w:val="629B6165"/>
    <w:rsid w:val="62CE02E9"/>
    <w:rsid w:val="62D90A3C"/>
    <w:rsid w:val="62F67840"/>
    <w:rsid w:val="631101D6"/>
    <w:rsid w:val="63226E50"/>
    <w:rsid w:val="63255BA3"/>
    <w:rsid w:val="633B34A5"/>
    <w:rsid w:val="63424833"/>
    <w:rsid w:val="63640C4D"/>
    <w:rsid w:val="639C3F43"/>
    <w:rsid w:val="63CA09B1"/>
    <w:rsid w:val="63F773CC"/>
    <w:rsid w:val="644A1BF1"/>
    <w:rsid w:val="6470717E"/>
    <w:rsid w:val="647749B0"/>
    <w:rsid w:val="647F035E"/>
    <w:rsid w:val="64B259E8"/>
    <w:rsid w:val="64C9520C"/>
    <w:rsid w:val="64D4770D"/>
    <w:rsid w:val="64FB376E"/>
    <w:rsid w:val="65077AE2"/>
    <w:rsid w:val="6531690D"/>
    <w:rsid w:val="65450AE6"/>
    <w:rsid w:val="65624D19"/>
    <w:rsid w:val="658C7FE7"/>
    <w:rsid w:val="65B512EC"/>
    <w:rsid w:val="65B9701A"/>
    <w:rsid w:val="65E63B9C"/>
    <w:rsid w:val="65ED6CD8"/>
    <w:rsid w:val="66187D3E"/>
    <w:rsid w:val="662756A8"/>
    <w:rsid w:val="662D3578"/>
    <w:rsid w:val="6637279C"/>
    <w:rsid w:val="6640680E"/>
    <w:rsid w:val="6646463A"/>
    <w:rsid w:val="66495ED8"/>
    <w:rsid w:val="66A51361"/>
    <w:rsid w:val="66F22A2D"/>
    <w:rsid w:val="6703077D"/>
    <w:rsid w:val="6723497B"/>
    <w:rsid w:val="67310E46"/>
    <w:rsid w:val="673372E4"/>
    <w:rsid w:val="67656D42"/>
    <w:rsid w:val="67784CC7"/>
    <w:rsid w:val="677A27ED"/>
    <w:rsid w:val="678809D3"/>
    <w:rsid w:val="678A67A9"/>
    <w:rsid w:val="67AC4971"/>
    <w:rsid w:val="67D53EC8"/>
    <w:rsid w:val="681D13CB"/>
    <w:rsid w:val="6841155D"/>
    <w:rsid w:val="68817BAC"/>
    <w:rsid w:val="68AA7102"/>
    <w:rsid w:val="68BB6B87"/>
    <w:rsid w:val="68CF0917"/>
    <w:rsid w:val="693C3AD3"/>
    <w:rsid w:val="69653029"/>
    <w:rsid w:val="69961435"/>
    <w:rsid w:val="69AC0C58"/>
    <w:rsid w:val="69AE0348"/>
    <w:rsid w:val="69DC31F0"/>
    <w:rsid w:val="69DD3507"/>
    <w:rsid w:val="69F60125"/>
    <w:rsid w:val="69F820EF"/>
    <w:rsid w:val="6A186779"/>
    <w:rsid w:val="6A211646"/>
    <w:rsid w:val="6A2473CA"/>
    <w:rsid w:val="6A260A0B"/>
    <w:rsid w:val="6A2E78BF"/>
    <w:rsid w:val="6A336B1D"/>
    <w:rsid w:val="6A5608A9"/>
    <w:rsid w:val="6A7A33A0"/>
    <w:rsid w:val="6A8B2F63"/>
    <w:rsid w:val="6A9242F2"/>
    <w:rsid w:val="6AFA6F8C"/>
    <w:rsid w:val="6B080110"/>
    <w:rsid w:val="6B0D2E94"/>
    <w:rsid w:val="6B62696C"/>
    <w:rsid w:val="6B87372B"/>
    <w:rsid w:val="6BAC0302"/>
    <w:rsid w:val="6BFD7585"/>
    <w:rsid w:val="6C345DD3"/>
    <w:rsid w:val="6C3A079D"/>
    <w:rsid w:val="6C4836AA"/>
    <w:rsid w:val="6C511CD4"/>
    <w:rsid w:val="6C5C1109"/>
    <w:rsid w:val="6C5D3CC7"/>
    <w:rsid w:val="6CBC3D49"/>
    <w:rsid w:val="6D142D9C"/>
    <w:rsid w:val="6D362E7C"/>
    <w:rsid w:val="6D3B47CD"/>
    <w:rsid w:val="6D8A12B0"/>
    <w:rsid w:val="6D9914F3"/>
    <w:rsid w:val="6DA22804"/>
    <w:rsid w:val="6DA93E2C"/>
    <w:rsid w:val="6DB602F7"/>
    <w:rsid w:val="6DB620A5"/>
    <w:rsid w:val="6DE54739"/>
    <w:rsid w:val="6E331948"/>
    <w:rsid w:val="6E5A0C83"/>
    <w:rsid w:val="6E8912E4"/>
    <w:rsid w:val="6EA12D56"/>
    <w:rsid w:val="6EA2087C"/>
    <w:rsid w:val="6EA36ACE"/>
    <w:rsid w:val="6EC10D02"/>
    <w:rsid w:val="6F307EE5"/>
    <w:rsid w:val="6F3C482C"/>
    <w:rsid w:val="6F435BBB"/>
    <w:rsid w:val="6F524050"/>
    <w:rsid w:val="6FEA4288"/>
    <w:rsid w:val="6FEF5007"/>
    <w:rsid w:val="6FF173C5"/>
    <w:rsid w:val="70003AAC"/>
    <w:rsid w:val="7004359C"/>
    <w:rsid w:val="70147557"/>
    <w:rsid w:val="70343755"/>
    <w:rsid w:val="70443C7E"/>
    <w:rsid w:val="707A560C"/>
    <w:rsid w:val="70B21362"/>
    <w:rsid w:val="70D00E4A"/>
    <w:rsid w:val="70E84C6C"/>
    <w:rsid w:val="70EB475C"/>
    <w:rsid w:val="70FA04FB"/>
    <w:rsid w:val="71107D1F"/>
    <w:rsid w:val="71123A97"/>
    <w:rsid w:val="711734BD"/>
    <w:rsid w:val="714874B8"/>
    <w:rsid w:val="715B4401"/>
    <w:rsid w:val="717B788E"/>
    <w:rsid w:val="718A5D23"/>
    <w:rsid w:val="718D5813"/>
    <w:rsid w:val="71A30B93"/>
    <w:rsid w:val="71CA611F"/>
    <w:rsid w:val="71CD79BE"/>
    <w:rsid w:val="71D76A8E"/>
    <w:rsid w:val="72113D4E"/>
    <w:rsid w:val="721B697B"/>
    <w:rsid w:val="72225F5B"/>
    <w:rsid w:val="7231741B"/>
    <w:rsid w:val="723B701D"/>
    <w:rsid w:val="725B146D"/>
    <w:rsid w:val="727051DB"/>
    <w:rsid w:val="72874010"/>
    <w:rsid w:val="72A9042B"/>
    <w:rsid w:val="72C74D55"/>
    <w:rsid w:val="72D354A8"/>
    <w:rsid w:val="72DC25AE"/>
    <w:rsid w:val="72ED47BB"/>
    <w:rsid w:val="730569E1"/>
    <w:rsid w:val="730C05EB"/>
    <w:rsid w:val="734A4CC5"/>
    <w:rsid w:val="7352573A"/>
    <w:rsid w:val="735A7977"/>
    <w:rsid w:val="73711A66"/>
    <w:rsid w:val="737F2F3A"/>
    <w:rsid w:val="73966C01"/>
    <w:rsid w:val="73A66718"/>
    <w:rsid w:val="74130252"/>
    <w:rsid w:val="748E78D8"/>
    <w:rsid w:val="74A7193D"/>
    <w:rsid w:val="74E455E6"/>
    <w:rsid w:val="75157FF9"/>
    <w:rsid w:val="75220020"/>
    <w:rsid w:val="75501031"/>
    <w:rsid w:val="75622B13"/>
    <w:rsid w:val="756B7C19"/>
    <w:rsid w:val="757F5473"/>
    <w:rsid w:val="758962F1"/>
    <w:rsid w:val="75E75974"/>
    <w:rsid w:val="75F45E61"/>
    <w:rsid w:val="762027B2"/>
    <w:rsid w:val="762D3121"/>
    <w:rsid w:val="7630676D"/>
    <w:rsid w:val="765B7C8E"/>
    <w:rsid w:val="766A7ED1"/>
    <w:rsid w:val="76880357"/>
    <w:rsid w:val="769C4061"/>
    <w:rsid w:val="76A07D97"/>
    <w:rsid w:val="76CA37DB"/>
    <w:rsid w:val="77040325"/>
    <w:rsid w:val="770420D4"/>
    <w:rsid w:val="7706409E"/>
    <w:rsid w:val="770C2D36"/>
    <w:rsid w:val="77275DC2"/>
    <w:rsid w:val="77277B70"/>
    <w:rsid w:val="78047EB1"/>
    <w:rsid w:val="7808174F"/>
    <w:rsid w:val="782B3690"/>
    <w:rsid w:val="786170B2"/>
    <w:rsid w:val="78C338C8"/>
    <w:rsid w:val="78CC09CF"/>
    <w:rsid w:val="792627D5"/>
    <w:rsid w:val="79352A18"/>
    <w:rsid w:val="7981136A"/>
    <w:rsid w:val="79927E6B"/>
    <w:rsid w:val="79966AAB"/>
    <w:rsid w:val="79AD4D3B"/>
    <w:rsid w:val="79C0265D"/>
    <w:rsid w:val="79C67B14"/>
    <w:rsid w:val="7A2D5C15"/>
    <w:rsid w:val="7A656D1E"/>
    <w:rsid w:val="7A684727"/>
    <w:rsid w:val="7A6A05A7"/>
    <w:rsid w:val="7A70182E"/>
    <w:rsid w:val="7AA410DE"/>
    <w:rsid w:val="7ABB6F4D"/>
    <w:rsid w:val="7AD86230"/>
    <w:rsid w:val="7B3A4316"/>
    <w:rsid w:val="7B6C46EB"/>
    <w:rsid w:val="7BC42B71"/>
    <w:rsid w:val="7BD81D81"/>
    <w:rsid w:val="7BE129E3"/>
    <w:rsid w:val="7C18217D"/>
    <w:rsid w:val="7C1F350C"/>
    <w:rsid w:val="7C444D20"/>
    <w:rsid w:val="7C5B05DB"/>
    <w:rsid w:val="7D4E22FA"/>
    <w:rsid w:val="7DA97531"/>
    <w:rsid w:val="7DAB14FB"/>
    <w:rsid w:val="7DAC7021"/>
    <w:rsid w:val="7DAE4B47"/>
    <w:rsid w:val="7E024E93"/>
    <w:rsid w:val="7E3C66B3"/>
    <w:rsid w:val="7E3D5ECB"/>
    <w:rsid w:val="7E3D6A17"/>
    <w:rsid w:val="7EDC106F"/>
    <w:rsid w:val="7EE30820"/>
    <w:rsid w:val="7EEF2121"/>
    <w:rsid w:val="7F1837A8"/>
    <w:rsid w:val="7F736048"/>
    <w:rsid w:val="7F737790"/>
    <w:rsid w:val="7F737DF6"/>
    <w:rsid w:val="7F78540D"/>
    <w:rsid w:val="7FA347B9"/>
    <w:rsid w:val="7FE74340"/>
    <w:rsid w:val="7FEE1B73"/>
    <w:rsid w:val="7FF247E9"/>
    <w:rsid w:val="7FFC429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3">
    <w:name w:val="heading 1"/>
    <w:basedOn w:val="1"/>
    <w:next w:val="1"/>
    <w:link w:val="143"/>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4">
    <w:name w:val="heading 2"/>
    <w:basedOn w:val="1"/>
    <w:next w:val="1"/>
    <w:link w:val="144"/>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5">
    <w:name w:val="heading 3"/>
    <w:basedOn w:val="1"/>
    <w:next w:val="1"/>
    <w:link w:val="145"/>
    <w:unhideWhenUsed/>
    <w:qFormat/>
    <w:uiPriority w:val="9"/>
    <w:pPr>
      <w:keepNext/>
      <w:keepLines/>
      <w:numPr>
        <w:ilvl w:val="0"/>
        <w:numId w:val="1"/>
      </w:numPr>
      <w:spacing w:before="200" w:after="240" w:afterLines="100"/>
      <w:ind w:right="220" w:rightChars="100"/>
      <w:outlineLvl w:val="2"/>
    </w:pPr>
    <w:rPr>
      <w:rFonts w:ascii="楷体" w:hAnsi="楷体" w:eastAsia="楷体" w:cs="楷体"/>
      <w:b/>
      <w:bCs/>
      <w:color w:val="000000" w:themeColor="text1"/>
      <w:sz w:val="32"/>
      <w:szCs w:val="32"/>
      <w:lang w:eastAsia="zh-CN"/>
      <w14:textFill>
        <w14:solidFill>
          <w14:schemeClr w14:val="tx1"/>
        </w14:solidFill>
      </w14:textFill>
    </w:rPr>
  </w:style>
  <w:style w:type="paragraph" w:styleId="6">
    <w:name w:val="heading 4"/>
    <w:basedOn w:val="1"/>
    <w:next w:val="1"/>
    <w:link w:val="155"/>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56"/>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57"/>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58"/>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59"/>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60"/>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5">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2">
    <w:name w:val="macro"/>
    <w:link w:val="152"/>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lang w:val="en-US" w:eastAsia="en-US" w:bidi="ar-SA"/>
    </w:rPr>
  </w:style>
  <w:style w:type="paragraph" w:styleId="12">
    <w:name w:val="List 3"/>
    <w:basedOn w:val="1"/>
    <w:unhideWhenUsed/>
    <w:qFormat/>
    <w:uiPriority w:val="99"/>
    <w:pPr>
      <w:ind w:left="1080" w:hanging="360"/>
      <w:contextualSpacing/>
    </w:pPr>
  </w:style>
  <w:style w:type="paragraph" w:styleId="13">
    <w:name w:val="List Number 2"/>
    <w:basedOn w:val="1"/>
    <w:unhideWhenUsed/>
    <w:qFormat/>
    <w:uiPriority w:val="99"/>
    <w:pPr>
      <w:numPr>
        <w:ilvl w:val="0"/>
        <w:numId w:val="2"/>
      </w:numPr>
      <w:contextualSpacing/>
    </w:pPr>
  </w:style>
  <w:style w:type="paragraph" w:styleId="14">
    <w:name w:val="List Number"/>
    <w:basedOn w:val="1"/>
    <w:unhideWhenUsed/>
    <w:qFormat/>
    <w:uiPriority w:val="99"/>
    <w:pPr>
      <w:numPr>
        <w:ilvl w:val="0"/>
        <w:numId w:val="3"/>
      </w:numPr>
      <w:contextualSpacing/>
    </w:pPr>
  </w:style>
  <w:style w:type="paragraph" w:styleId="15">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unhideWhenUsed/>
    <w:qFormat/>
    <w:uiPriority w:val="99"/>
    <w:pPr>
      <w:numPr>
        <w:ilvl w:val="0"/>
        <w:numId w:val="4"/>
      </w:numPr>
      <w:contextualSpacing/>
    </w:pPr>
  </w:style>
  <w:style w:type="paragraph" w:styleId="17">
    <w:name w:val="Body Text 3"/>
    <w:basedOn w:val="1"/>
    <w:link w:val="151"/>
    <w:unhideWhenUsed/>
    <w:qFormat/>
    <w:uiPriority w:val="99"/>
    <w:pPr>
      <w:spacing w:after="120"/>
    </w:pPr>
    <w:rPr>
      <w:sz w:val="16"/>
      <w:szCs w:val="16"/>
    </w:rPr>
  </w:style>
  <w:style w:type="paragraph" w:styleId="18">
    <w:name w:val="List Bullet 3"/>
    <w:basedOn w:val="1"/>
    <w:unhideWhenUsed/>
    <w:qFormat/>
    <w:uiPriority w:val="99"/>
    <w:pPr>
      <w:numPr>
        <w:ilvl w:val="0"/>
        <w:numId w:val="5"/>
      </w:numPr>
      <w:contextualSpacing/>
    </w:pPr>
  </w:style>
  <w:style w:type="paragraph" w:styleId="19">
    <w:name w:val="Body Text"/>
    <w:basedOn w:val="1"/>
    <w:link w:val="149"/>
    <w:unhideWhenUsed/>
    <w:qFormat/>
    <w:uiPriority w:val="99"/>
    <w:pPr>
      <w:spacing w:after="120"/>
    </w:pPr>
  </w:style>
  <w:style w:type="paragraph" w:styleId="20">
    <w:name w:val="List Number 3"/>
    <w:basedOn w:val="1"/>
    <w:unhideWhenUsed/>
    <w:qFormat/>
    <w:uiPriority w:val="99"/>
    <w:pPr>
      <w:numPr>
        <w:ilvl w:val="0"/>
        <w:numId w:val="6"/>
      </w:numPr>
      <w:contextualSpacing/>
    </w:pPr>
  </w:style>
  <w:style w:type="paragraph" w:styleId="21">
    <w:name w:val="List 2"/>
    <w:basedOn w:val="1"/>
    <w:unhideWhenUsed/>
    <w:qFormat/>
    <w:uiPriority w:val="99"/>
    <w:pPr>
      <w:ind w:left="720" w:hanging="360"/>
      <w:contextualSpacing/>
    </w:pPr>
  </w:style>
  <w:style w:type="paragraph" w:styleId="22">
    <w:name w:val="List Continue"/>
    <w:basedOn w:val="1"/>
    <w:unhideWhenUsed/>
    <w:qFormat/>
    <w:uiPriority w:val="99"/>
    <w:pPr>
      <w:spacing w:after="120"/>
      <w:ind w:left="360"/>
      <w:contextualSpacing/>
    </w:pPr>
  </w:style>
  <w:style w:type="paragraph" w:styleId="23">
    <w:name w:val="List Bullet 2"/>
    <w:basedOn w:val="1"/>
    <w:unhideWhenUsed/>
    <w:qFormat/>
    <w:uiPriority w:val="99"/>
    <w:pPr>
      <w:numPr>
        <w:ilvl w:val="0"/>
        <w:numId w:val="7"/>
      </w:numPr>
      <w:contextualSpacing/>
    </w:pPr>
  </w:style>
  <w:style w:type="paragraph" w:styleId="24">
    <w:name w:val="footer"/>
    <w:basedOn w:val="1"/>
    <w:link w:val="141"/>
    <w:unhideWhenUsed/>
    <w:qFormat/>
    <w:uiPriority w:val="99"/>
    <w:pPr>
      <w:tabs>
        <w:tab w:val="center" w:pos="4680"/>
        <w:tab w:val="right" w:pos="9360"/>
      </w:tabs>
      <w:spacing w:after="0" w:line="240" w:lineRule="auto"/>
    </w:pPr>
  </w:style>
  <w:style w:type="paragraph" w:styleId="25">
    <w:name w:val="header"/>
    <w:basedOn w:val="1"/>
    <w:link w:val="140"/>
    <w:unhideWhenUsed/>
    <w:qFormat/>
    <w:uiPriority w:val="99"/>
    <w:pPr>
      <w:tabs>
        <w:tab w:val="center" w:pos="4680"/>
        <w:tab w:val="right" w:pos="9360"/>
      </w:tabs>
      <w:spacing w:after="0" w:line="240" w:lineRule="auto"/>
    </w:pPr>
  </w:style>
  <w:style w:type="paragraph" w:styleId="26">
    <w:name w:val="toc 1"/>
    <w:basedOn w:val="1"/>
    <w:next w:val="1"/>
    <w:unhideWhenUsed/>
    <w:qFormat/>
    <w:uiPriority w:val="39"/>
  </w:style>
  <w:style w:type="paragraph" w:styleId="27">
    <w:name w:val="Subtitle"/>
    <w:basedOn w:val="1"/>
    <w:next w:val="1"/>
    <w:link w:val="147"/>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8">
    <w:name w:val="List"/>
    <w:basedOn w:val="1"/>
    <w:unhideWhenUsed/>
    <w:qFormat/>
    <w:uiPriority w:val="99"/>
    <w:pPr>
      <w:ind w:left="360" w:hanging="360"/>
      <w:contextualSpacing/>
    </w:pPr>
  </w:style>
  <w:style w:type="paragraph" w:styleId="29">
    <w:name w:val="toc 2"/>
    <w:basedOn w:val="1"/>
    <w:next w:val="1"/>
    <w:unhideWhenUsed/>
    <w:qFormat/>
    <w:uiPriority w:val="39"/>
    <w:pPr>
      <w:ind w:left="420" w:leftChars="200"/>
    </w:pPr>
  </w:style>
  <w:style w:type="paragraph" w:styleId="30">
    <w:name w:val="Body Text 2"/>
    <w:basedOn w:val="1"/>
    <w:link w:val="150"/>
    <w:unhideWhenUsed/>
    <w:qFormat/>
    <w:uiPriority w:val="99"/>
    <w:pPr>
      <w:spacing w:after="120" w:line="480" w:lineRule="auto"/>
    </w:pPr>
  </w:style>
  <w:style w:type="paragraph" w:styleId="31">
    <w:name w:val="List Continue 2"/>
    <w:basedOn w:val="1"/>
    <w:unhideWhenUsed/>
    <w:qFormat/>
    <w:uiPriority w:val="99"/>
    <w:pPr>
      <w:spacing w:after="120"/>
      <w:ind w:left="720"/>
      <w:contextualSpacing/>
    </w:pPr>
  </w:style>
  <w:style w:type="paragraph" w:styleId="32">
    <w:name w:val="Normal (Web)"/>
    <w:basedOn w:val="1"/>
    <w:uiPriority w:val="0"/>
    <w:pPr>
      <w:widowControl w:val="0"/>
      <w:spacing w:before="100" w:beforeAutospacing="1" w:after="100" w:afterAutospacing="1" w:line="240" w:lineRule="auto"/>
    </w:pPr>
    <w:rPr>
      <w:rFonts w:ascii="Calibri" w:hAnsi="Calibri" w:eastAsia="宋体" w:cs="Times New Roman"/>
      <w:sz w:val="24"/>
      <w:szCs w:val="24"/>
      <w:lang w:eastAsia="zh-CN"/>
    </w:rPr>
  </w:style>
  <w:style w:type="paragraph" w:styleId="33">
    <w:name w:val="List Continue 3"/>
    <w:basedOn w:val="1"/>
    <w:unhideWhenUsed/>
    <w:qFormat/>
    <w:uiPriority w:val="99"/>
    <w:pPr>
      <w:spacing w:after="120"/>
      <w:ind w:left="1080"/>
      <w:contextualSpacing/>
    </w:pPr>
  </w:style>
  <w:style w:type="paragraph" w:styleId="34">
    <w:name w:val="Title"/>
    <w:basedOn w:val="1"/>
    <w:next w:val="1"/>
    <w:link w:val="14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6">
    <w:name w:val="Table Grid"/>
    <w:basedOn w:val="3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37">
    <w:name w:val="Light Shading"/>
    <w:basedOn w:val="35"/>
    <w:qFormat/>
    <w:uiPriority w:val="60"/>
    <w:rPr>
      <w:color w:val="000000" w:themeColor="text1" w:themeShade="BF"/>
    </w:rPr>
    <w:tblPr>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8">
    <w:name w:val="Light Shading Accent 1"/>
    <w:basedOn w:val="35"/>
    <w:qFormat/>
    <w:uiPriority w:val="60"/>
    <w:rPr>
      <w:color w:val="376092" w:themeColor="accent1" w:themeShade="BF"/>
    </w:rPr>
    <w:tblPr>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9">
    <w:name w:val="Light Shading Accent 2"/>
    <w:basedOn w:val="35"/>
    <w:qFormat/>
    <w:uiPriority w:val="60"/>
    <w:rPr>
      <w:color w:val="953735" w:themeColor="accent2" w:themeShade="BF"/>
    </w:rPr>
    <w:tblPr>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40">
    <w:name w:val="Light Shading Accent 3"/>
    <w:basedOn w:val="35"/>
    <w:qFormat/>
    <w:uiPriority w:val="60"/>
    <w:rPr>
      <w:color w:val="77933C" w:themeColor="accent3" w:themeShade="BF"/>
    </w:rPr>
    <w:tblPr>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1">
    <w:name w:val="Light Shading Accent 4"/>
    <w:basedOn w:val="35"/>
    <w:qFormat/>
    <w:uiPriority w:val="60"/>
    <w:rPr>
      <w:color w:val="604A7B" w:themeColor="accent4" w:themeShade="BF"/>
    </w:rPr>
    <w:tblPr>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42">
    <w:name w:val="Light Shading Accent 5"/>
    <w:basedOn w:val="35"/>
    <w:qFormat/>
    <w:uiPriority w:val="60"/>
    <w:rPr>
      <w:color w:val="31859C" w:themeColor="accent5" w:themeShade="BF"/>
    </w:rPr>
    <w:tblPr>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3">
    <w:name w:val="Light Shading Accent 6"/>
    <w:basedOn w:val="35"/>
    <w:qFormat/>
    <w:uiPriority w:val="60"/>
    <w:rPr>
      <w:color w:val="E46C0A" w:themeColor="accent6" w:themeShade="BF"/>
    </w:rPr>
    <w:tblPr>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4">
    <w:name w:val="Light List"/>
    <w:basedOn w:val="35"/>
    <w:qFormat/>
    <w:uiPriority w:val="61"/>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5">
    <w:name w:val="Light List Accent 1"/>
    <w:basedOn w:val="35"/>
    <w:qFormat/>
    <w:uiPriority w:val="61"/>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6">
    <w:name w:val="Light List Accent 2"/>
    <w:basedOn w:val="35"/>
    <w:qFormat/>
    <w:uiPriority w:val="61"/>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7">
    <w:name w:val="Light List Accent 3"/>
    <w:basedOn w:val="35"/>
    <w:qFormat/>
    <w:uiPriority w:val="61"/>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8">
    <w:name w:val="Light List Accent 4"/>
    <w:basedOn w:val="35"/>
    <w:qFormat/>
    <w:uiPriority w:val="61"/>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9">
    <w:name w:val="Light List Accent 5"/>
    <w:basedOn w:val="35"/>
    <w:qFormat/>
    <w:uiPriority w:val="61"/>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50">
    <w:name w:val="Light List Accent 6"/>
    <w:basedOn w:val="35"/>
    <w:qFormat/>
    <w:uiPriority w:val="61"/>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51">
    <w:name w:val="Light Grid"/>
    <w:basedOn w:val="35"/>
    <w:qFormat/>
    <w:uiPriority w:val="62"/>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52">
    <w:name w:val="Light Grid Accent 1"/>
    <w:basedOn w:val="35"/>
    <w:qFormat/>
    <w:uiPriority w:val="62"/>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3">
    <w:name w:val="Light Grid Accent 2"/>
    <w:basedOn w:val="35"/>
    <w:qFormat/>
    <w:uiPriority w:val="62"/>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4">
    <w:name w:val="Light Grid Accent 3"/>
    <w:basedOn w:val="35"/>
    <w:qFormat/>
    <w:uiPriority w:val="62"/>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5">
    <w:name w:val="Light Grid Accent 4"/>
    <w:basedOn w:val="35"/>
    <w:qFormat/>
    <w:uiPriority w:val="62"/>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6">
    <w:name w:val="Light Grid Accent 5"/>
    <w:basedOn w:val="35"/>
    <w:qFormat/>
    <w:uiPriority w:val="62"/>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7">
    <w:name w:val="Light Grid Accent 6"/>
    <w:basedOn w:val="35"/>
    <w:qFormat/>
    <w:uiPriority w:val="62"/>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8">
    <w:name w:val="Medium Shading 1"/>
    <w:basedOn w:val="35"/>
    <w:qFormat/>
    <w:uiPriority w:val="63"/>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9">
    <w:name w:val="Medium Shading 1 Accent 1"/>
    <w:basedOn w:val="35"/>
    <w:qFormat/>
    <w:uiPriority w:val="63"/>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60">
    <w:name w:val="Medium Shading 1 Accent 2"/>
    <w:basedOn w:val="35"/>
    <w:qFormat/>
    <w:uiPriority w:val="63"/>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61">
    <w:name w:val="Medium Shading 1 Accent 3"/>
    <w:basedOn w:val="35"/>
    <w:qFormat/>
    <w:uiPriority w:val="63"/>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62">
    <w:name w:val="Medium Shading 1 Accent 4"/>
    <w:basedOn w:val="35"/>
    <w:qFormat/>
    <w:uiPriority w:val="63"/>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3">
    <w:name w:val="Medium Shading 1 Accent 5"/>
    <w:basedOn w:val="35"/>
    <w:qFormat/>
    <w:uiPriority w:val="63"/>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4">
    <w:name w:val="Medium Shading 1 Accent 6"/>
    <w:basedOn w:val="35"/>
    <w:qFormat/>
    <w:uiPriority w:val="63"/>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5">
    <w:name w:val="Medium Shading 2"/>
    <w:basedOn w:val="35"/>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1"/>
    <w:basedOn w:val="35"/>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2"/>
    <w:basedOn w:val="35"/>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3"/>
    <w:basedOn w:val="35"/>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Shading 2 Accent 4"/>
    <w:basedOn w:val="35"/>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0">
    <w:name w:val="Medium Shading 2 Accent 5"/>
    <w:basedOn w:val="35"/>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1">
    <w:name w:val="Medium Shading 2 Accent 6"/>
    <w:basedOn w:val="35"/>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2">
    <w:name w:val="Medium List 1"/>
    <w:basedOn w:val="35"/>
    <w:qFormat/>
    <w:uiPriority w:val="65"/>
    <w:rPr>
      <w:color w:val="000000" w:themeColor="text1"/>
      <w14:textFill>
        <w14:solidFill>
          <w14:schemeClr w14:val="tx1"/>
        </w14:solidFill>
      </w14:textFill>
    </w:rPr>
    <w:tblPr>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3">
    <w:name w:val="Medium List 1 Accent 1"/>
    <w:basedOn w:val="35"/>
    <w:qFormat/>
    <w:uiPriority w:val="65"/>
    <w:rPr>
      <w:color w:val="000000" w:themeColor="text1"/>
      <w14:textFill>
        <w14:solidFill>
          <w14:schemeClr w14:val="tx1"/>
        </w14:solidFill>
      </w14:textFill>
    </w:rPr>
    <w:tblPr>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4">
    <w:name w:val="Medium List 1 Accent 2"/>
    <w:basedOn w:val="35"/>
    <w:qFormat/>
    <w:uiPriority w:val="65"/>
    <w:rPr>
      <w:color w:val="000000" w:themeColor="text1"/>
      <w14:textFill>
        <w14:solidFill>
          <w14:schemeClr w14:val="tx1"/>
        </w14:solidFill>
      </w14:textFill>
    </w:rPr>
    <w:tblPr>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5">
    <w:name w:val="Medium List 1 Accent 3"/>
    <w:basedOn w:val="35"/>
    <w:qFormat/>
    <w:uiPriority w:val="65"/>
    <w:rPr>
      <w:color w:val="000000" w:themeColor="text1"/>
      <w14:textFill>
        <w14:solidFill>
          <w14:schemeClr w14:val="tx1"/>
        </w14:solidFill>
      </w14:textFill>
    </w:rPr>
    <w:tblPr>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6">
    <w:name w:val="Medium List 1 Accent 4"/>
    <w:basedOn w:val="35"/>
    <w:qFormat/>
    <w:uiPriority w:val="65"/>
    <w:rPr>
      <w:color w:val="000000" w:themeColor="text1"/>
      <w14:textFill>
        <w14:solidFill>
          <w14:schemeClr w14:val="tx1"/>
        </w14:solidFill>
      </w14:textFill>
    </w:rPr>
    <w:tblPr>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7">
    <w:name w:val="Medium List 1 Accent 5"/>
    <w:basedOn w:val="35"/>
    <w:qFormat/>
    <w:uiPriority w:val="65"/>
    <w:rPr>
      <w:color w:val="000000" w:themeColor="text1"/>
      <w14:textFill>
        <w14:solidFill>
          <w14:schemeClr w14:val="tx1"/>
        </w14:solidFill>
      </w14:textFill>
    </w:rPr>
    <w:tblPr>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8">
    <w:name w:val="Medium List 1 Accent 6"/>
    <w:basedOn w:val="35"/>
    <w:qFormat/>
    <w:uiPriority w:val="65"/>
    <w:rPr>
      <w:color w:val="000000" w:themeColor="text1"/>
      <w14:textFill>
        <w14:solidFill>
          <w14:schemeClr w14:val="tx1"/>
        </w14:solidFill>
      </w14:textFill>
    </w:rPr>
    <w:tblPr>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9">
    <w:name w:val="Medium List 2"/>
    <w:basedOn w:val="35"/>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1"/>
    <w:basedOn w:val="35"/>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2"/>
    <w:basedOn w:val="35"/>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3"/>
    <w:basedOn w:val="35"/>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List 2 Accent 4"/>
    <w:basedOn w:val="35"/>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4">
    <w:name w:val="Medium List 2 Accent 5"/>
    <w:basedOn w:val="35"/>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5">
    <w:name w:val="Medium List 2 Accent 6"/>
    <w:basedOn w:val="35"/>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6">
    <w:name w:val="Medium Grid 1"/>
    <w:basedOn w:val="35"/>
    <w:qFormat/>
    <w:uiPriority w:val="67"/>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7">
    <w:name w:val="Medium Grid 1 Accent 1"/>
    <w:basedOn w:val="35"/>
    <w:qFormat/>
    <w:uiPriority w:val="67"/>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8">
    <w:name w:val="Medium Grid 1 Accent 2"/>
    <w:basedOn w:val="35"/>
    <w:qFormat/>
    <w:uiPriority w:val="67"/>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9">
    <w:name w:val="Medium Grid 1 Accent 3"/>
    <w:basedOn w:val="35"/>
    <w:qFormat/>
    <w:uiPriority w:val="67"/>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90">
    <w:name w:val="Medium Grid 1 Accent 4"/>
    <w:basedOn w:val="35"/>
    <w:qFormat/>
    <w:uiPriority w:val="67"/>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91">
    <w:name w:val="Medium Grid 1 Accent 5"/>
    <w:basedOn w:val="35"/>
    <w:qFormat/>
    <w:uiPriority w:val="67"/>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92">
    <w:name w:val="Medium Grid 1 Accent 6"/>
    <w:basedOn w:val="35"/>
    <w:qFormat/>
    <w:uiPriority w:val="67"/>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3">
    <w:name w:val="Medium Grid 2"/>
    <w:basedOn w:val="35"/>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4">
    <w:name w:val="Medium Grid 2 Accent 1"/>
    <w:basedOn w:val="35"/>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5">
    <w:name w:val="Medium Grid 2 Accent 2"/>
    <w:basedOn w:val="35"/>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6">
    <w:name w:val="Medium Grid 2 Accent 3"/>
    <w:basedOn w:val="35"/>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7">
    <w:name w:val="Medium Grid 2 Accent 4"/>
    <w:basedOn w:val="35"/>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8">
    <w:name w:val="Medium Grid 2 Accent 5"/>
    <w:basedOn w:val="35"/>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9">
    <w:name w:val="Medium Grid 2 Accent 6"/>
    <w:basedOn w:val="35"/>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100">
    <w:name w:val="Medium Grid 3"/>
    <w:basedOn w:val="35"/>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01">
    <w:name w:val="Medium Grid 3 Accent 1"/>
    <w:basedOn w:val="35"/>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02">
    <w:name w:val="Medium Grid 3 Accent 2"/>
    <w:basedOn w:val="35"/>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3">
    <w:name w:val="Medium Grid 3 Accent 3"/>
    <w:basedOn w:val="35"/>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4">
    <w:name w:val="Medium Grid 3 Accent 4"/>
    <w:basedOn w:val="35"/>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5">
    <w:name w:val="Medium Grid 3 Accent 5"/>
    <w:basedOn w:val="35"/>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6">
    <w:name w:val="Medium Grid 3 Accent 6"/>
    <w:basedOn w:val="35"/>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7">
    <w:name w:val="Dark List"/>
    <w:basedOn w:val="35"/>
    <w:qFormat/>
    <w:uiPriority w:val="70"/>
    <w:rPr>
      <w:color w:val="FFFFFF" w:themeColor="background1"/>
      <w14:textFill>
        <w14:solidFill>
          <w14:schemeClr w14:val="bg1"/>
        </w14:solidFill>
      </w14:textFill>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8">
    <w:name w:val="Dark List Accent 1"/>
    <w:basedOn w:val="35"/>
    <w:qFormat/>
    <w:uiPriority w:val="70"/>
    <w:rPr>
      <w:color w:val="FFFFFF" w:themeColor="background1"/>
      <w14:textFill>
        <w14:solidFill>
          <w14:schemeClr w14:val="bg1"/>
        </w14:solidFill>
      </w14:textFill>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9">
    <w:name w:val="Dark List Accent 2"/>
    <w:basedOn w:val="35"/>
    <w:qFormat/>
    <w:uiPriority w:val="70"/>
    <w:rPr>
      <w:color w:val="FFFFFF" w:themeColor="background1"/>
      <w14:textFill>
        <w14:solidFill>
          <w14:schemeClr w14:val="bg1"/>
        </w14:solidFill>
      </w14:textFill>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10">
    <w:name w:val="Dark List Accent 3"/>
    <w:basedOn w:val="35"/>
    <w:qFormat/>
    <w:uiPriority w:val="70"/>
    <w:rPr>
      <w:color w:val="FFFFFF" w:themeColor="background1"/>
      <w14:textFill>
        <w14:solidFill>
          <w14:schemeClr w14:val="bg1"/>
        </w14:solidFill>
      </w14:textFill>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11">
    <w:name w:val="Dark List Accent 4"/>
    <w:basedOn w:val="35"/>
    <w:qFormat/>
    <w:uiPriority w:val="70"/>
    <w:rPr>
      <w:color w:val="FFFFFF" w:themeColor="background1"/>
      <w14:textFill>
        <w14:solidFill>
          <w14:schemeClr w14:val="bg1"/>
        </w14:solidFill>
      </w14:textFill>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12">
    <w:name w:val="Dark List Accent 5"/>
    <w:basedOn w:val="35"/>
    <w:qFormat/>
    <w:uiPriority w:val="70"/>
    <w:rPr>
      <w:color w:val="FFFFFF" w:themeColor="background1"/>
      <w14:textFill>
        <w14:solidFill>
          <w14:schemeClr w14:val="bg1"/>
        </w14:solidFill>
      </w14:textFill>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3">
    <w:name w:val="Dark List Accent 6"/>
    <w:basedOn w:val="35"/>
    <w:qFormat/>
    <w:uiPriority w:val="70"/>
    <w:rPr>
      <w:color w:val="FFFFFF" w:themeColor="background1"/>
      <w14:textFill>
        <w14:solidFill>
          <w14:schemeClr w14:val="bg1"/>
        </w14:solidFill>
      </w14:textFill>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4">
    <w:name w:val="Colorful Shading"/>
    <w:basedOn w:val="35"/>
    <w:qFormat/>
    <w:uiPriority w:val="71"/>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5">
    <w:name w:val="Colorful Shading Accent 1"/>
    <w:basedOn w:val="35"/>
    <w:qFormat/>
    <w:uiPriority w:val="71"/>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2"/>
    <w:basedOn w:val="35"/>
    <w:qFormat/>
    <w:uiPriority w:val="71"/>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3"/>
    <w:basedOn w:val="35"/>
    <w:qFormat/>
    <w:uiPriority w:val="71"/>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8">
    <w:name w:val="Colorful Shading Accent 4"/>
    <w:basedOn w:val="35"/>
    <w:qFormat/>
    <w:uiPriority w:val="71"/>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9">
    <w:name w:val="Colorful Shading Accent 5"/>
    <w:basedOn w:val="35"/>
    <w:qFormat/>
    <w:uiPriority w:val="71"/>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0">
    <w:name w:val="Colorful Shading Accent 6"/>
    <w:basedOn w:val="35"/>
    <w:qFormat/>
    <w:uiPriority w:val="71"/>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1">
    <w:name w:val="Colorful List"/>
    <w:basedOn w:val="35"/>
    <w:qFormat/>
    <w:uiPriority w:val="72"/>
    <w:rPr>
      <w:color w:val="000000" w:themeColor="text1"/>
      <w14:textFill>
        <w14:solidFill>
          <w14:schemeClr w14:val="tx1"/>
        </w14:solidFill>
      </w14:textFill>
    </w:rPr>
    <w:tblPr>
      <w:tblStyleRowBandSize w:val="1"/>
      <w:tblStyleColBandSize w:val="1"/>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22">
    <w:name w:val="Colorful List Accent 1"/>
    <w:basedOn w:val="35"/>
    <w:qFormat/>
    <w:uiPriority w:val="72"/>
    <w:rPr>
      <w:color w:val="000000" w:themeColor="text1"/>
      <w14:textFill>
        <w14:solidFill>
          <w14:schemeClr w14:val="tx1"/>
        </w14:solidFill>
      </w14:textFill>
    </w:rPr>
    <w:tblPr>
      <w:tblStyleRowBandSize w:val="1"/>
      <w:tblStyleColBandSize w:val="1"/>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3">
    <w:name w:val="Colorful List Accent 2"/>
    <w:basedOn w:val="35"/>
    <w:qFormat/>
    <w:uiPriority w:val="72"/>
    <w:rPr>
      <w:color w:val="000000" w:themeColor="text1"/>
      <w14:textFill>
        <w14:solidFill>
          <w14:schemeClr w14:val="tx1"/>
        </w14:solidFill>
      </w14:textFill>
    </w:rPr>
    <w:tblPr>
      <w:tblStyleRowBandSize w:val="1"/>
      <w:tblStyleColBandSize w:val="1"/>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4">
    <w:name w:val="Colorful List Accent 3"/>
    <w:basedOn w:val="35"/>
    <w:qFormat/>
    <w:uiPriority w:val="72"/>
    <w:rPr>
      <w:color w:val="000000" w:themeColor="text1"/>
      <w14:textFill>
        <w14:solidFill>
          <w14:schemeClr w14:val="tx1"/>
        </w14:solidFill>
      </w14:textFill>
    </w:rPr>
    <w:tblPr>
      <w:tblStyleRowBandSize w:val="1"/>
      <w:tblStyleColBandSize w:val="1"/>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5">
    <w:name w:val="Colorful List Accent 4"/>
    <w:basedOn w:val="35"/>
    <w:qFormat/>
    <w:uiPriority w:val="72"/>
    <w:rPr>
      <w:color w:val="000000" w:themeColor="text1"/>
      <w14:textFill>
        <w14:solidFill>
          <w14:schemeClr w14:val="tx1"/>
        </w14:solidFill>
      </w14:textFill>
    </w:rPr>
    <w:tblPr>
      <w:tblStyleRowBandSize w:val="1"/>
      <w:tblStyleColBandSize w:val="1"/>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6">
    <w:name w:val="Colorful List Accent 5"/>
    <w:basedOn w:val="35"/>
    <w:qFormat/>
    <w:uiPriority w:val="72"/>
    <w:rPr>
      <w:color w:val="000000" w:themeColor="text1"/>
      <w14:textFill>
        <w14:solidFill>
          <w14:schemeClr w14:val="tx1"/>
        </w14:solidFill>
      </w14:textFill>
    </w:rPr>
    <w:tblPr>
      <w:tblStyleRowBandSize w:val="1"/>
      <w:tblStyleColBandSize w:val="1"/>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7">
    <w:name w:val="Colorful List Accent 6"/>
    <w:basedOn w:val="35"/>
    <w:qFormat/>
    <w:uiPriority w:val="72"/>
    <w:rPr>
      <w:color w:val="000000" w:themeColor="text1"/>
      <w14:textFill>
        <w14:solidFill>
          <w14:schemeClr w14:val="tx1"/>
        </w14:solidFill>
      </w14:textFill>
    </w:rPr>
    <w:tblPr>
      <w:tblStyleRowBandSize w:val="1"/>
      <w:tblStyleColBandSize w:val="1"/>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8">
    <w:name w:val="Colorful Grid"/>
    <w:basedOn w:val="35"/>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9">
    <w:name w:val="Colorful Grid Accent 1"/>
    <w:basedOn w:val="35"/>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30">
    <w:name w:val="Colorful Grid Accent 2"/>
    <w:basedOn w:val="35"/>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Colorful Grid Accent 3"/>
    <w:basedOn w:val="35"/>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32">
    <w:name w:val="Colorful Grid Accent 4"/>
    <w:basedOn w:val="35"/>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3">
    <w:name w:val="Colorful Grid Accent 5"/>
    <w:basedOn w:val="35"/>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4">
    <w:name w:val="Colorful Grid Accent 6"/>
    <w:basedOn w:val="35"/>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6">
    <w:name w:val="Strong"/>
    <w:basedOn w:val="135"/>
    <w:qFormat/>
    <w:uiPriority w:val="22"/>
    <w:rPr>
      <w:b/>
      <w:bCs/>
    </w:rPr>
  </w:style>
  <w:style w:type="character" w:styleId="137">
    <w:name w:val="FollowedHyperlink"/>
    <w:semiHidden/>
    <w:unhideWhenUsed/>
    <w:uiPriority w:val="99"/>
    <w:rPr>
      <w:color w:val="954F72"/>
      <w:u w:val="single"/>
    </w:rPr>
  </w:style>
  <w:style w:type="character" w:styleId="138">
    <w:name w:val="Emphasis"/>
    <w:basedOn w:val="135"/>
    <w:qFormat/>
    <w:uiPriority w:val="20"/>
    <w:rPr>
      <w:i/>
      <w:iCs/>
    </w:rPr>
  </w:style>
  <w:style w:type="character" w:styleId="139">
    <w:name w:val="Hyperlink"/>
    <w:basedOn w:val="135"/>
    <w:unhideWhenUsed/>
    <w:uiPriority w:val="99"/>
    <w:rPr>
      <w:color w:val="0000FF" w:themeColor="hyperlink"/>
      <w:u w:val="single"/>
      <w14:textFill>
        <w14:solidFill>
          <w14:schemeClr w14:val="hlink"/>
        </w14:solidFill>
      </w14:textFill>
    </w:rPr>
  </w:style>
  <w:style w:type="character" w:customStyle="1" w:styleId="140">
    <w:name w:val="页眉 字符"/>
    <w:basedOn w:val="135"/>
    <w:link w:val="25"/>
    <w:qFormat/>
    <w:uiPriority w:val="99"/>
  </w:style>
  <w:style w:type="character" w:customStyle="1" w:styleId="141">
    <w:name w:val="页脚 字符"/>
    <w:basedOn w:val="135"/>
    <w:link w:val="24"/>
    <w:qFormat/>
    <w:uiPriority w:val="99"/>
  </w:style>
  <w:style w:type="paragraph" w:styleId="142">
    <w:name w:val="No Spacing"/>
    <w:qFormat/>
    <w:uiPriority w:val="1"/>
    <w:rPr>
      <w:rFonts w:asciiTheme="minorHAnsi" w:hAnsiTheme="minorHAnsi" w:eastAsiaTheme="minorEastAsia" w:cstheme="minorBidi"/>
      <w:sz w:val="22"/>
      <w:szCs w:val="22"/>
      <w:lang w:val="en-US" w:eastAsia="en-US" w:bidi="ar-SA"/>
    </w:rPr>
  </w:style>
  <w:style w:type="character" w:customStyle="1" w:styleId="143">
    <w:name w:val="标题 1 字符"/>
    <w:basedOn w:val="135"/>
    <w:link w:val="3"/>
    <w:qFormat/>
    <w:uiPriority w:val="9"/>
    <w:rPr>
      <w:rFonts w:asciiTheme="majorHAnsi" w:hAnsiTheme="majorHAnsi" w:eastAsiaTheme="majorEastAsia" w:cstheme="majorBidi"/>
      <w:b/>
      <w:bCs/>
      <w:color w:val="376092" w:themeColor="accent1" w:themeShade="BF"/>
      <w:sz w:val="28"/>
      <w:szCs w:val="28"/>
    </w:rPr>
  </w:style>
  <w:style w:type="character" w:customStyle="1" w:styleId="144">
    <w:name w:val="标题 2 字符"/>
    <w:basedOn w:val="135"/>
    <w:link w:val="4"/>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5">
    <w:name w:val="标题 3 字符"/>
    <w:basedOn w:val="135"/>
    <w:link w:val="5"/>
    <w:qFormat/>
    <w:uiPriority w:val="9"/>
    <w:rPr>
      <w:rFonts w:ascii="楷体" w:hAnsi="楷体" w:eastAsia="楷体" w:cs="楷体"/>
      <w:b/>
      <w:bCs/>
      <w:color w:val="000000" w:themeColor="text1"/>
      <w:sz w:val="32"/>
      <w:szCs w:val="32"/>
      <w14:textFill>
        <w14:solidFill>
          <w14:schemeClr w14:val="tx1"/>
        </w14:solidFill>
      </w14:textFill>
    </w:rPr>
  </w:style>
  <w:style w:type="character" w:customStyle="1" w:styleId="146">
    <w:name w:val="标题 字符"/>
    <w:basedOn w:val="135"/>
    <w:link w:val="34"/>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7">
    <w:name w:val="副标题 字符"/>
    <w:basedOn w:val="135"/>
    <w:link w:val="27"/>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8">
    <w:name w:val="List Paragraph"/>
    <w:basedOn w:val="1"/>
    <w:qFormat/>
    <w:uiPriority w:val="34"/>
    <w:pPr>
      <w:ind w:left="720"/>
      <w:contextualSpacing/>
    </w:pPr>
  </w:style>
  <w:style w:type="character" w:customStyle="1" w:styleId="149">
    <w:name w:val="正文文本 字符"/>
    <w:basedOn w:val="135"/>
    <w:link w:val="19"/>
    <w:qFormat/>
    <w:uiPriority w:val="99"/>
  </w:style>
  <w:style w:type="character" w:customStyle="1" w:styleId="150">
    <w:name w:val="正文文本 2 字符"/>
    <w:basedOn w:val="135"/>
    <w:link w:val="30"/>
    <w:qFormat/>
    <w:uiPriority w:val="99"/>
  </w:style>
  <w:style w:type="character" w:customStyle="1" w:styleId="151">
    <w:name w:val="正文文本 3 字符"/>
    <w:basedOn w:val="135"/>
    <w:link w:val="17"/>
    <w:qFormat/>
    <w:uiPriority w:val="99"/>
    <w:rPr>
      <w:sz w:val="16"/>
      <w:szCs w:val="16"/>
    </w:rPr>
  </w:style>
  <w:style w:type="character" w:customStyle="1" w:styleId="152">
    <w:name w:val="宏文本 字符"/>
    <w:basedOn w:val="135"/>
    <w:link w:val="2"/>
    <w:qFormat/>
    <w:uiPriority w:val="99"/>
    <w:rPr>
      <w:rFonts w:ascii="Courier" w:hAnsi="Courier"/>
      <w:sz w:val="20"/>
      <w:szCs w:val="20"/>
    </w:rPr>
  </w:style>
  <w:style w:type="paragraph" w:styleId="153">
    <w:name w:val="Quote"/>
    <w:basedOn w:val="1"/>
    <w:next w:val="1"/>
    <w:link w:val="154"/>
    <w:qFormat/>
    <w:uiPriority w:val="29"/>
    <w:rPr>
      <w:i/>
      <w:iCs/>
      <w:color w:val="000000" w:themeColor="text1"/>
      <w14:textFill>
        <w14:solidFill>
          <w14:schemeClr w14:val="tx1"/>
        </w14:solidFill>
      </w14:textFill>
    </w:rPr>
  </w:style>
  <w:style w:type="character" w:customStyle="1" w:styleId="154">
    <w:name w:val="引用 字符"/>
    <w:basedOn w:val="135"/>
    <w:link w:val="153"/>
    <w:qFormat/>
    <w:uiPriority w:val="29"/>
    <w:rPr>
      <w:i/>
      <w:iCs/>
      <w:color w:val="000000" w:themeColor="text1"/>
      <w14:textFill>
        <w14:solidFill>
          <w14:schemeClr w14:val="tx1"/>
        </w14:solidFill>
      </w14:textFill>
    </w:rPr>
  </w:style>
  <w:style w:type="character" w:customStyle="1" w:styleId="155">
    <w:name w:val="标题 4 字符"/>
    <w:basedOn w:val="135"/>
    <w:link w:val="6"/>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6">
    <w:name w:val="标题 5 字符"/>
    <w:basedOn w:val="135"/>
    <w:link w:val="7"/>
    <w:semiHidden/>
    <w:qFormat/>
    <w:uiPriority w:val="9"/>
    <w:rPr>
      <w:rFonts w:asciiTheme="majorHAnsi" w:hAnsiTheme="majorHAnsi" w:eastAsiaTheme="majorEastAsia" w:cstheme="majorBidi"/>
      <w:color w:val="254061" w:themeColor="accent1" w:themeShade="80"/>
    </w:rPr>
  </w:style>
  <w:style w:type="character" w:customStyle="1" w:styleId="157">
    <w:name w:val="标题 6 字符"/>
    <w:basedOn w:val="135"/>
    <w:link w:val="8"/>
    <w:semiHidden/>
    <w:qFormat/>
    <w:uiPriority w:val="9"/>
    <w:rPr>
      <w:rFonts w:asciiTheme="majorHAnsi" w:hAnsiTheme="majorHAnsi" w:eastAsiaTheme="majorEastAsia" w:cstheme="majorBidi"/>
      <w:i/>
      <w:iCs/>
      <w:color w:val="254061" w:themeColor="accent1" w:themeShade="80"/>
    </w:rPr>
  </w:style>
  <w:style w:type="character" w:customStyle="1" w:styleId="158">
    <w:name w:val="标题 7 字符"/>
    <w:basedOn w:val="135"/>
    <w:link w:val="9"/>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9">
    <w:name w:val="标题 8 字符"/>
    <w:basedOn w:val="135"/>
    <w:link w:val="10"/>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60">
    <w:name w:val="标题 9 字符"/>
    <w:basedOn w:val="135"/>
    <w:link w:val="11"/>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61">
    <w:name w:val="Intense Quote"/>
    <w:basedOn w:val="1"/>
    <w:next w:val="1"/>
    <w:link w:val="162"/>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62">
    <w:name w:val="明显引用 字符"/>
    <w:basedOn w:val="135"/>
    <w:link w:val="161"/>
    <w:qFormat/>
    <w:uiPriority w:val="30"/>
    <w:rPr>
      <w:b/>
      <w:bCs/>
      <w:i/>
      <w:iCs/>
      <w:color w:val="4F81BD" w:themeColor="accent1"/>
      <w14:textFill>
        <w14:solidFill>
          <w14:schemeClr w14:val="accent1"/>
        </w14:solidFill>
      </w14:textFill>
    </w:rPr>
  </w:style>
  <w:style w:type="character" w:customStyle="1" w:styleId="163">
    <w:name w:val="不明显强调1"/>
    <w:basedOn w:val="135"/>
    <w:qFormat/>
    <w:uiPriority w:val="19"/>
    <w:rPr>
      <w:i/>
      <w:iCs/>
      <w:color w:val="808080" w:themeColor="text1" w:themeTint="80"/>
      <w14:textFill>
        <w14:solidFill>
          <w14:schemeClr w14:val="tx1">
            <w14:lumMod w14:val="50000"/>
            <w14:lumOff w14:val="50000"/>
          </w14:schemeClr>
        </w14:solidFill>
      </w14:textFill>
    </w:rPr>
  </w:style>
  <w:style w:type="character" w:customStyle="1" w:styleId="164">
    <w:name w:val="明显强调1"/>
    <w:basedOn w:val="135"/>
    <w:qFormat/>
    <w:uiPriority w:val="21"/>
    <w:rPr>
      <w:b/>
      <w:bCs/>
      <w:i/>
      <w:iCs/>
      <w:color w:val="4F81BD" w:themeColor="accent1"/>
      <w14:textFill>
        <w14:solidFill>
          <w14:schemeClr w14:val="accent1"/>
        </w14:solidFill>
      </w14:textFill>
    </w:rPr>
  </w:style>
  <w:style w:type="character" w:customStyle="1" w:styleId="165">
    <w:name w:val="不明显参考1"/>
    <w:basedOn w:val="135"/>
    <w:qFormat/>
    <w:uiPriority w:val="31"/>
    <w:rPr>
      <w:smallCaps/>
      <w:color w:val="C0504D" w:themeColor="accent2"/>
      <w:u w:val="single"/>
      <w14:textFill>
        <w14:solidFill>
          <w14:schemeClr w14:val="accent2"/>
        </w14:solidFill>
      </w14:textFill>
    </w:rPr>
  </w:style>
  <w:style w:type="character" w:customStyle="1" w:styleId="166">
    <w:name w:val="明显参考1"/>
    <w:basedOn w:val="135"/>
    <w:qFormat/>
    <w:uiPriority w:val="32"/>
    <w:rPr>
      <w:b/>
      <w:bCs/>
      <w:smallCaps/>
      <w:color w:val="C0504D" w:themeColor="accent2"/>
      <w:spacing w:val="5"/>
      <w:u w:val="single"/>
      <w14:textFill>
        <w14:solidFill>
          <w14:schemeClr w14:val="accent2"/>
        </w14:solidFill>
      </w14:textFill>
    </w:rPr>
  </w:style>
  <w:style w:type="character" w:customStyle="1" w:styleId="167">
    <w:name w:val="书籍标题1"/>
    <w:basedOn w:val="135"/>
    <w:qFormat/>
    <w:uiPriority w:val="33"/>
    <w:rPr>
      <w:b/>
      <w:bCs/>
      <w:smallCaps/>
      <w:spacing w:val="5"/>
    </w:rPr>
  </w:style>
  <w:style w:type="paragraph" w:customStyle="1" w:styleId="168">
    <w:name w:val="TOC 标题1"/>
    <w:basedOn w:val="3"/>
    <w:next w:val="1"/>
    <w:semiHidden/>
    <w:unhideWhenUsed/>
    <w:qFormat/>
    <w:uiPriority w:val="39"/>
    <w:pPr>
      <w:outlineLvl w:val="9"/>
    </w:pPr>
  </w:style>
  <w:style w:type="character" w:customStyle="1" w:styleId="169">
    <w:name w:val="Intense Emphasis"/>
    <w:qFormat/>
    <w:uiPriority w:val="21"/>
    <w:rPr>
      <w:i/>
      <w:iCs/>
      <w:color w:val="0F4761"/>
    </w:rPr>
  </w:style>
  <w:style w:type="character" w:customStyle="1" w:styleId="170">
    <w:name w:val="Intense Reference"/>
    <w:qFormat/>
    <w:uiPriority w:val="32"/>
    <w:rPr>
      <w:b/>
      <w:bCs/>
      <w:smallCaps/>
      <w:color w:val="0F4761"/>
      <w:spacing w:val="5"/>
    </w:rPr>
  </w:style>
  <w:style w:type="paragraph" w:customStyle="1" w:styleId="171">
    <w:name w:val="msonormal"/>
    <w:basedOn w:val="1"/>
    <w:uiPriority w:val="0"/>
    <w:pPr>
      <w:spacing w:before="100" w:beforeAutospacing="1" w:after="100" w:afterAutospacing="1" w:line="240" w:lineRule="auto"/>
    </w:pPr>
    <w:rPr>
      <w:rFonts w:ascii="宋体" w:hAnsi="宋体" w:eastAsia="宋体" w:cs="宋体"/>
      <w:sz w:val="24"/>
      <w:szCs w:val="24"/>
      <w:lang w:eastAsia="zh-CN"/>
    </w:rPr>
  </w:style>
  <w:style w:type="paragraph" w:customStyle="1" w:styleId="172">
    <w:name w:val="font5"/>
    <w:basedOn w:val="1"/>
    <w:uiPriority w:val="0"/>
    <w:pPr>
      <w:spacing w:before="100" w:beforeAutospacing="1" w:after="100" w:afterAutospacing="1" w:line="240" w:lineRule="auto"/>
    </w:pPr>
    <w:rPr>
      <w:rFonts w:ascii="仿宋_GB2312" w:hAnsi="宋体" w:eastAsia="仿宋_GB2312" w:cs="宋体"/>
      <w:color w:val="000000"/>
      <w:sz w:val="21"/>
      <w:szCs w:val="21"/>
      <w:lang w:eastAsia="zh-CN"/>
    </w:rPr>
  </w:style>
  <w:style w:type="paragraph" w:customStyle="1" w:styleId="173">
    <w:name w:val="font6"/>
    <w:basedOn w:val="1"/>
    <w:uiPriority w:val="0"/>
    <w:pPr>
      <w:spacing w:before="100" w:beforeAutospacing="1" w:after="100" w:afterAutospacing="1" w:line="240" w:lineRule="auto"/>
    </w:pPr>
    <w:rPr>
      <w:rFonts w:ascii="微软雅黑" w:hAnsi="微软雅黑" w:eastAsia="微软雅黑" w:cs="宋体"/>
      <w:color w:val="000000"/>
      <w:sz w:val="21"/>
      <w:szCs w:val="21"/>
      <w:lang w:eastAsia="zh-CN"/>
    </w:rPr>
  </w:style>
  <w:style w:type="paragraph" w:customStyle="1" w:styleId="174">
    <w:name w:val="font7"/>
    <w:basedOn w:val="1"/>
    <w:uiPriority w:val="0"/>
    <w:pPr>
      <w:spacing w:before="100" w:beforeAutospacing="1" w:after="100" w:afterAutospacing="1" w:line="240" w:lineRule="auto"/>
    </w:pPr>
    <w:rPr>
      <w:rFonts w:ascii="等线" w:hAnsi="等线" w:eastAsia="等线" w:cs="宋体"/>
      <w:sz w:val="18"/>
      <w:szCs w:val="18"/>
      <w:lang w:eastAsia="zh-CN"/>
    </w:rPr>
  </w:style>
  <w:style w:type="paragraph" w:customStyle="1" w:styleId="175">
    <w:name w:val="xl65"/>
    <w:basedOn w:val="1"/>
    <w:uiPriority w:val="0"/>
    <w:pPr>
      <w:pBdr>
        <w:top w:val="single" w:color="auto" w:sz="8" w:space="0"/>
        <w:left w:val="single" w:color="auto" w:sz="8" w:space="0"/>
        <w:bottom w:val="single" w:color="auto" w:sz="8" w:space="0"/>
        <w:right w:val="single" w:color="auto" w:sz="8" w:space="0"/>
      </w:pBdr>
      <w:spacing w:before="100" w:beforeAutospacing="1" w:after="100" w:afterAutospacing="1" w:line="240" w:lineRule="auto"/>
      <w:jc w:val="center"/>
    </w:pPr>
    <w:rPr>
      <w:rFonts w:ascii="仿宋_GB2312" w:hAnsi="宋体" w:eastAsia="仿宋_GB2312" w:cs="宋体"/>
      <w:b/>
      <w:bCs/>
      <w:color w:val="000000"/>
      <w:sz w:val="21"/>
      <w:szCs w:val="21"/>
      <w:lang w:eastAsia="zh-CN"/>
    </w:rPr>
  </w:style>
  <w:style w:type="paragraph" w:customStyle="1" w:styleId="176">
    <w:name w:val="xl66"/>
    <w:basedOn w:val="1"/>
    <w:uiPriority w:val="0"/>
    <w:pPr>
      <w:pBdr>
        <w:top w:val="single" w:color="auto" w:sz="8" w:space="0"/>
        <w:bottom w:val="single" w:color="auto" w:sz="8" w:space="0"/>
        <w:right w:val="single" w:color="auto" w:sz="8" w:space="0"/>
      </w:pBdr>
      <w:spacing w:before="100" w:beforeAutospacing="1" w:after="100" w:afterAutospacing="1" w:line="240" w:lineRule="auto"/>
      <w:jc w:val="center"/>
    </w:pPr>
    <w:rPr>
      <w:rFonts w:ascii="仿宋_GB2312" w:hAnsi="宋体" w:eastAsia="仿宋_GB2312" w:cs="宋体"/>
      <w:b/>
      <w:bCs/>
      <w:color w:val="000000"/>
      <w:sz w:val="21"/>
      <w:szCs w:val="21"/>
      <w:lang w:eastAsia="zh-CN"/>
    </w:rPr>
  </w:style>
  <w:style w:type="paragraph" w:customStyle="1" w:styleId="177">
    <w:name w:val="xl67"/>
    <w:basedOn w:val="1"/>
    <w:uiPriority w:val="0"/>
    <w:pPr>
      <w:pBdr>
        <w:bottom w:val="single" w:color="auto" w:sz="8" w:space="0"/>
        <w:right w:val="single" w:color="auto" w:sz="8" w:space="0"/>
      </w:pBdr>
      <w:spacing w:before="100" w:beforeAutospacing="1" w:after="100" w:afterAutospacing="1" w:line="240" w:lineRule="auto"/>
      <w:jc w:val="center"/>
    </w:pPr>
    <w:rPr>
      <w:rFonts w:ascii="仿宋_GB2312" w:hAnsi="宋体" w:eastAsia="仿宋_GB2312" w:cs="宋体"/>
      <w:color w:val="000000"/>
      <w:sz w:val="21"/>
      <w:szCs w:val="21"/>
      <w:lang w:eastAsia="zh-CN"/>
    </w:rPr>
  </w:style>
  <w:style w:type="paragraph" w:customStyle="1" w:styleId="178">
    <w:name w:val="xl68"/>
    <w:basedOn w:val="1"/>
    <w:uiPriority w:val="0"/>
    <w:pPr>
      <w:pBdr>
        <w:top w:val="single" w:color="auto" w:sz="8" w:space="0"/>
        <w:bottom w:val="single" w:color="auto" w:sz="8" w:space="0"/>
        <w:right w:val="single" w:color="auto" w:sz="8" w:space="0"/>
      </w:pBdr>
      <w:spacing w:before="100" w:beforeAutospacing="1" w:after="100" w:afterAutospacing="1" w:line="240" w:lineRule="auto"/>
      <w:jc w:val="center"/>
    </w:pPr>
    <w:rPr>
      <w:rFonts w:ascii="仿宋_GB2312" w:hAnsi="宋体" w:eastAsia="仿宋_GB2312" w:cs="宋体"/>
      <w:color w:val="000000"/>
      <w:sz w:val="21"/>
      <w:szCs w:val="21"/>
      <w:lang w:eastAsia="zh-CN"/>
    </w:rPr>
  </w:style>
  <w:style w:type="paragraph" w:customStyle="1" w:styleId="179">
    <w:name w:val="xl69"/>
    <w:basedOn w:val="1"/>
    <w:uiPriority w:val="0"/>
    <w:pPr>
      <w:pBdr>
        <w:top w:val="single" w:color="auto" w:sz="8" w:space="0"/>
        <w:left w:val="single" w:color="auto" w:sz="8" w:space="0"/>
        <w:right w:val="single" w:color="auto" w:sz="8" w:space="0"/>
      </w:pBdr>
      <w:spacing w:before="100" w:beforeAutospacing="1" w:after="100" w:afterAutospacing="1" w:line="240" w:lineRule="auto"/>
      <w:jc w:val="center"/>
    </w:pPr>
    <w:rPr>
      <w:rFonts w:ascii="仿宋_GB2312" w:hAnsi="宋体" w:eastAsia="仿宋_GB2312" w:cs="宋体"/>
      <w:b/>
      <w:bCs/>
      <w:color w:val="000000"/>
      <w:sz w:val="21"/>
      <w:szCs w:val="21"/>
      <w:lang w:eastAsia="zh-CN"/>
    </w:rPr>
  </w:style>
  <w:style w:type="paragraph" w:customStyle="1" w:styleId="180">
    <w:name w:val="xl70"/>
    <w:basedOn w:val="1"/>
    <w:uiPriority w:val="0"/>
    <w:pPr>
      <w:pBdr>
        <w:bottom w:val="single" w:color="auto" w:sz="8" w:space="0"/>
        <w:right w:val="single" w:color="auto" w:sz="8" w:space="0"/>
      </w:pBdr>
      <w:spacing w:before="100" w:beforeAutospacing="1" w:after="100" w:afterAutospacing="1" w:line="240" w:lineRule="auto"/>
      <w:jc w:val="center"/>
    </w:pPr>
    <w:rPr>
      <w:rFonts w:ascii="仿宋_GB2312" w:hAnsi="宋体" w:eastAsia="仿宋_GB2312" w:cs="宋体"/>
      <w:b/>
      <w:bCs/>
      <w:color w:val="000000"/>
      <w:sz w:val="21"/>
      <w:szCs w:val="21"/>
      <w:lang w:eastAsia="zh-CN"/>
    </w:rPr>
  </w:style>
  <w:style w:type="paragraph" w:customStyle="1" w:styleId="181">
    <w:name w:val="xl71"/>
    <w:basedOn w:val="1"/>
    <w:uiPriority w:val="0"/>
    <w:pPr>
      <w:spacing w:before="100" w:beforeAutospacing="1" w:after="100" w:afterAutospacing="1" w:line="240" w:lineRule="auto"/>
      <w:jc w:val="center"/>
    </w:pPr>
    <w:rPr>
      <w:rFonts w:ascii="仿宋_GB2312" w:hAnsi="宋体" w:eastAsia="仿宋_GB2312" w:cs="宋体"/>
      <w:color w:val="000000"/>
      <w:sz w:val="21"/>
      <w:szCs w:val="21"/>
      <w:lang w:eastAsia="zh-CN"/>
    </w:rPr>
  </w:style>
  <w:style w:type="paragraph" w:customStyle="1" w:styleId="182">
    <w:name w:val="xl72"/>
    <w:basedOn w:val="1"/>
    <w:uiPriority w:val="0"/>
    <w:pPr>
      <w:spacing w:before="100" w:beforeAutospacing="1" w:after="100" w:afterAutospacing="1" w:line="240" w:lineRule="auto"/>
      <w:jc w:val="right"/>
    </w:pPr>
    <w:rPr>
      <w:rFonts w:ascii="Arial" w:hAnsi="Arial" w:eastAsia="宋体" w:cs="Arial"/>
      <w:sz w:val="20"/>
      <w:szCs w:val="20"/>
      <w:lang w:eastAsia="zh-CN"/>
    </w:rPr>
  </w:style>
  <w:style w:type="paragraph" w:customStyle="1" w:styleId="183">
    <w:name w:val="xl73"/>
    <w:basedOn w:val="1"/>
    <w:uiPriority w:val="0"/>
    <w:pPr>
      <w:spacing w:before="100" w:beforeAutospacing="1" w:after="100" w:afterAutospacing="1" w:line="240" w:lineRule="auto"/>
    </w:pPr>
    <w:rPr>
      <w:rFonts w:ascii="Arial" w:hAnsi="Arial" w:eastAsia="宋体" w:cs="Arial"/>
      <w:sz w:val="20"/>
      <w:szCs w:val="20"/>
      <w:lang w:eastAsia="zh-CN"/>
    </w:rPr>
  </w:style>
  <w:style w:type="paragraph" w:customStyle="1" w:styleId="184">
    <w:name w:val="xl74"/>
    <w:basedOn w:val="1"/>
    <w:uiPriority w:val="0"/>
    <w:pPr>
      <w:pBdr>
        <w:bottom w:val="single" w:color="auto" w:sz="8" w:space="0"/>
        <w:right w:val="single" w:color="auto" w:sz="8" w:space="0"/>
      </w:pBdr>
      <w:shd w:val="clear" w:color="000000" w:fill="FFFF00"/>
      <w:spacing w:before="100" w:beforeAutospacing="1" w:after="100" w:afterAutospacing="1" w:line="240" w:lineRule="auto"/>
      <w:jc w:val="center"/>
    </w:pPr>
    <w:rPr>
      <w:rFonts w:ascii="仿宋_GB2312" w:hAnsi="宋体" w:eastAsia="仿宋_GB2312" w:cs="宋体"/>
      <w:color w:val="000000"/>
      <w:sz w:val="21"/>
      <w:szCs w:val="21"/>
      <w:lang w:eastAsia="zh-CN"/>
    </w:rPr>
  </w:style>
  <w:style w:type="paragraph" w:customStyle="1" w:styleId="185">
    <w:name w:val="xl75"/>
    <w:basedOn w:val="1"/>
    <w:uiPriority w:val="0"/>
    <w:pPr>
      <w:shd w:val="clear" w:color="000000" w:fill="FFFF00"/>
      <w:spacing w:before="100" w:beforeAutospacing="1" w:after="100" w:afterAutospacing="1" w:line="240" w:lineRule="auto"/>
      <w:jc w:val="center"/>
    </w:pPr>
    <w:rPr>
      <w:rFonts w:ascii="宋体" w:hAnsi="宋体" w:eastAsia="宋体" w:cs="宋体"/>
      <w:sz w:val="24"/>
      <w:szCs w:val="24"/>
      <w:lang w:eastAsia="zh-CN"/>
    </w:rPr>
  </w:style>
  <w:style w:type="paragraph" w:customStyle="1" w:styleId="186">
    <w:name w:val="xl76"/>
    <w:basedOn w:val="1"/>
    <w:uiPriority w:val="0"/>
    <w:pPr>
      <w:shd w:val="clear" w:color="000000" w:fill="FFFF00"/>
      <w:spacing w:before="100" w:beforeAutospacing="1" w:after="100" w:afterAutospacing="1" w:line="240" w:lineRule="auto"/>
      <w:jc w:val="center"/>
    </w:pPr>
    <w:rPr>
      <w:rFonts w:ascii="宋体" w:hAnsi="宋体" w:eastAsia="宋体" w:cs="宋体"/>
      <w:sz w:val="24"/>
      <w:szCs w:val="24"/>
      <w:lang w:eastAsia="zh-CN"/>
    </w:rPr>
  </w:style>
  <w:style w:type="paragraph" w:customStyle="1" w:styleId="187">
    <w:name w:val="xl77"/>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both"/>
    </w:pPr>
    <w:rPr>
      <w:rFonts w:ascii="宋体" w:hAnsi="宋体" w:eastAsia="宋体" w:cs="宋体"/>
      <w:sz w:val="21"/>
      <w:szCs w:val="21"/>
      <w:lang w:eastAsia="zh-CN"/>
    </w:rPr>
  </w:style>
  <w:style w:type="paragraph" w:customStyle="1" w:styleId="188">
    <w:name w:val="xl78"/>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宋体" w:hAnsi="宋体" w:eastAsia="宋体" w:cs="宋体"/>
      <w:sz w:val="24"/>
      <w:szCs w:val="24"/>
      <w:lang w:eastAsia="zh-CN"/>
    </w:rPr>
  </w:style>
  <w:style w:type="paragraph" w:customStyle="1" w:styleId="189">
    <w:name w:val="xl79"/>
    <w:basedOn w:val="1"/>
    <w:uiPriority w:val="0"/>
    <w:pPr>
      <w:spacing w:before="100" w:beforeAutospacing="1" w:after="100" w:afterAutospacing="1" w:line="240" w:lineRule="auto"/>
      <w:jc w:val="both"/>
    </w:pPr>
    <w:rPr>
      <w:rFonts w:ascii="宋体" w:hAnsi="宋体" w:eastAsia="宋体" w:cs="宋体"/>
      <w:sz w:val="21"/>
      <w:szCs w:val="21"/>
      <w:lang w:eastAsia="zh-CN"/>
    </w:rPr>
  </w:style>
  <w:style w:type="paragraph" w:customStyle="1" w:styleId="190">
    <w:name w:val="xl80"/>
    <w:basedOn w:val="1"/>
    <w:uiPriority w:val="0"/>
    <w:pPr>
      <w:spacing w:before="100" w:beforeAutospacing="1" w:after="100" w:afterAutospacing="1" w:line="240" w:lineRule="auto"/>
      <w:jc w:val="center"/>
    </w:pPr>
    <w:rPr>
      <w:rFonts w:ascii="宋体" w:hAnsi="宋体" w:eastAsia="宋体" w:cs="宋体"/>
      <w:sz w:val="24"/>
      <w:szCs w:val="24"/>
      <w:lang w:eastAsia="zh-CN"/>
    </w:rPr>
  </w:style>
  <w:style w:type="paragraph" w:customStyle="1" w:styleId="191">
    <w:name w:val="xl82"/>
    <w:basedOn w:val="1"/>
    <w:uiPriority w:val="0"/>
    <w:pPr>
      <w:spacing w:before="100" w:beforeAutospacing="1" w:after="100" w:afterAutospacing="1" w:line="240" w:lineRule="auto"/>
      <w:jc w:val="center"/>
    </w:pPr>
    <w:rPr>
      <w:rFonts w:ascii="宋体" w:hAnsi="宋体" w:eastAsia="宋体" w:cs="宋体"/>
      <w:sz w:val="24"/>
      <w:szCs w:val="24"/>
      <w:lang w:eastAsia="zh-CN"/>
    </w:rPr>
  </w:style>
  <w:style w:type="paragraph" w:customStyle="1" w:styleId="192">
    <w:name w:val="xl83"/>
    <w:basedOn w:val="1"/>
    <w:uiPriority w:val="0"/>
    <w:pPr>
      <w:shd w:val="clear" w:color="000000" w:fill="FFFF00"/>
      <w:spacing w:before="100" w:beforeAutospacing="1" w:after="100" w:afterAutospacing="1" w:line="240" w:lineRule="auto"/>
      <w:jc w:val="center"/>
    </w:pPr>
    <w:rPr>
      <w:rFonts w:ascii="宋体" w:hAnsi="宋体" w:eastAsia="宋体" w:cs="宋体"/>
      <w:sz w:val="24"/>
      <w:szCs w:val="24"/>
      <w:lang w:eastAsia="zh-CN"/>
    </w:rPr>
  </w:style>
  <w:style w:type="paragraph" w:customStyle="1" w:styleId="193">
    <w:name w:val="xl84"/>
    <w:basedOn w:val="1"/>
    <w:uiPriority w:val="0"/>
    <w:pPr>
      <w:pBdr>
        <w:top w:val="single" w:color="auto" w:sz="8" w:space="0"/>
        <w:left w:val="single" w:color="auto" w:sz="8" w:space="0"/>
        <w:right w:val="single" w:color="auto" w:sz="8" w:space="0"/>
      </w:pBdr>
      <w:spacing w:before="100" w:beforeAutospacing="1" w:after="100" w:afterAutospacing="1" w:line="240" w:lineRule="auto"/>
      <w:jc w:val="center"/>
    </w:pPr>
    <w:rPr>
      <w:rFonts w:ascii="仿宋_GB2312" w:hAnsi="宋体" w:eastAsia="仿宋_GB2312" w:cs="宋体"/>
      <w:color w:val="000000"/>
      <w:sz w:val="21"/>
      <w:szCs w:val="21"/>
      <w:lang w:eastAsia="zh-CN"/>
    </w:rPr>
  </w:style>
  <w:style w:type="paragraph" w:customStyle="1" w:styleId="194">
    <w:name w:val="xl85"/>
    <w:basedOn w:val="1"/>
    <w:uiPriority w:val="0"/>
    <w:pPr>
      <w:pBdr>
        <w:left w:val="single" w:color="auto" w:sz="8" w:space="0"/>
        <w:right w:val="single" w:color="auto" w:sz="8" w:space="0"/>
      </w:pBdr>
      <w:spacing w:before="100" w:beforeAutospacing="1" w:after="100" w:afterAutospacing="1" w:line="240" w:lineRule="auto"/>
      <w:jc w:val="center"/>
    </w:pPr>
    <w:rPr>
      <w:rFonts w:ascii="仿宋_GB2312" w:hAnsi="宋体" w:eastAsia="仿宋_GB2312" w:cs="宋体"/>
      <w:color w:val="000000"/>
      <w:sz w:val="21"/>
      <w:szCs w:val="21"/>
      <w:lang w:eastAsia="zh-CN"/>
    </w:rPr>
  </w:style>
  <w:style w:type="paragraph" w:customStyle="1" w:styleId="195">
    <w:name w:val="xl86"/>
    <w:basedOn w:val="1"/>
    <w:uiPriority w:val="0"/>
    <w:pPr>
      <w:pBdr>
        <w:left w:val="single" w:color="auto" w:sz="8" w:space="0"/>
        <w:bottom w:val="single" w:color="auto" w:sz="8" w:space="0"/>
        <w:right w:val="single" w:color="auto" w:sz="8" w:space="0"/>
      </w:pBdr>
      <w:spacing w:before="100" w:beforeAutospacing="1" w:after="100" w:afterAutospacing="1" w:line="240" w:lineRule="auto"/>
      <w:jc w:val="center"/>
    </w:pPr>
    <w:rPr>
      <w:rFonts w:ascii="仿宋_GB2312" w:hAnsi="宋体" w:eastAsia="仿宋_GB2312" w:cs="宋体"/>
      <w:color w:val="000000"/>
      <w:sz w:val="21"/>
      <w:szCs w:val="21"/>
      <w:lang w:eastAsia="zh-CN"/>
    </w:rPr>
  </w:style>
  <w:style w:type="paragraph" w:customStyle="1" w:styleId="196">
    <w:name w:val="xl87"/>
    <w:basedOn w:val="1"/>
    <w:uiPriority w:val="0"/>
    <w:pPr>
      <w:shd w:val="clear" w:color="000000" w:fill="FFFF00"/>
      <w:spacing w:before="100" w:beforeAutospacing="1" w:after="100" w:afterAutospacing="1" w:line="240" w:lineRule="auto"/>
    </w:pPr>
    <w:rPr>
      <w:rFonts w:ascii="宋体" w:hAnsi="宋体" w:eastAsia="宋体" w:cs="宋体"/>
      <w:sz w:val="24"/>
      <w:szCs w:val="24"/>
      <w:lang w:eastAsia="zh-CN"/>
    </w:rPr>
  </w:style>
  <w:style w:type="paragraph" w:customStyle="1" w:styleId="197">
    <w:name w:val="xl88"/>
    <w:basedOn w:val="1"/>
    <w:uiPriority w:val="0"/>
    <w:pPr>
      <w:shd w:val="clear" w:color="000000" w:fill="FFFF00"/>
      <w:spacing w:before="100" w:beforeAutospacing="1" w:after="100" w:afterAutospacing="1" w:line="240" w:lineRule="auto"/>
    </w:pPr>
    <w:rPr>
      <w:rFonts w:ascii="宋体" w:hAnsi="宋体" w:eastAsia="宋体" w:cs="宋体"/>
      <w:sz w:val="24"/>
      <w:szCs w:val="24"/>
      <w:lang w:eastAsia="zh-CN"/>
    </w:rPr>
  </w:style>
  <w:style w:type="paragraph" w:customStyle="1" w:styleId="198">
    <w:name w:val="xl90"/>
    <w:basedOn w:val="1"/>
    <w:uiPriority w:val="0"/>
    <w:pPr>
      <w:pBdr>
        <w:bottom w:val="single" w:color="auto" w:sz="8" w:space="0"/>
        <w:right w:val="single" w:color="auto" w:sz="8" w:space="0"/>
      </w:pBdr>
      <w:shd w:val="clear" w:color="000000" w:fill="E2EFDA"/>
      <w:spacing w:before="100" w:beforeAutospacing="1" w:after="100" w:afterAutospacing="1" w:line="240" w:lineRule="auto"/>
      <w:jc w:val="center"/>
    </w:pPr>
    <w:rPr>
      <w:rFonts w:ascii="仿宋_GB2312" w:hAnsi="宋体" w:eastAsia="仿宋_GB2312" w:cs="宋体"/>
      <w:color w:val="000000"/>
      <w:sz w:val="21"/>
      <w:szCs w:val="21"/>
      <w:lang w:eastAsia="zh-CN"/>
    </w:rPr>
  </w:style>
  <w:style w:type="paragraph" w:customStyle="1" w:styleId="199">
    <w:name w:val="xl91"/>
    <w:basedOn w:val="1"/>
    <w:uiPriority w:val="0"/>
    <w:pPr>
      <w:pBdr>
        <w:right w:val="single" w:color="auto" w:sz="8" w:space="0"/>
      </w:pBdr>
      <w:spacing w:before="100" w:beforeAutospacing="1" w:after="100" w:afterAutospacing="1" w:line="240" w:lineRule="auto"/>
      <w:jc w:val="center"/>
    </w:pPr>
    <w:rPr>
      <w:rFonts w:ascii="仿宋_GB2312" w:hAnsi="宋体" w:eastAsia="仿宋_GB2312" w:cs="宋体"/>
      <w:color w:val="000000"/>
      <w:sz w:val="21"/>
      <w:szCs w:val="21"/>
      <w:lang w:eastAsia="zh-CN"/>
    </w:rPr>
  </w:style>
  <w:style w:type="paragraph" w:customStyle="1" w:styleId="200">
    <w:name w:val="xl92"/>
    <w:basedOn w:val="1"/>
    <w:uiPriority w:val="0"/>
    <w:pPr>
      <w:pBdr>
        <w:top w:val="single" w:color="auto" w:sz="8" w:space="0"/>
      </w:pBdr>
      <w:spacing w:before="100" w:beforeAutospacing="1" w:after="100" w:afterAutospacing="1" w:line="240" w:lineRule="auto"/>
      <w:jc w:val="center"/>
    </w:pPr>
    <w:rPr>
      <w:rFonts w:ascii="仿宋_GB2312" w:hAnsi="宋体" w:eastAsia="仿宋_GB2312" w:cs="宋体"/>
      <w:color w:val="000000"/>
      <w:sz w:val="21"/>
      <w:szCs w:val="21"/>
      <w:lang w:eastAsia="zh-CN"/>
    </w:rPr>
  </w:style>
  <w:style w:type="paragraph" w:customStyle="1" w:styleId="201">
    <w:name w:val="xl93"/>
    <w:basedOn w:val="1"/>
    <w:uiPriority w:val="0"/>
    <w:pPr>
      <w:spacing w:before="100" w:beforeAutospacing="1" w:after="100" w:afterAutospacing="1" w:line="240" w:lineRule="auto"/>
      <w:jc w:val="center"/>
    </w:pPr>
    <w:rPr>
      <w:rFonts w:ascii="仿宋_GB2312" w:hAnsi="宋体" w:eastAsia="仿宋_GB2312" w:cs="宋体"/>
      <w:color w:val="000000"/>
      <w:sz w:val="21"/>
      <w:szCs w:val="21"/>
      <w:lang w:eastAsia="zh-CN"/>
    </w:rPr>
  </w:style>
  <w:style w:type="paragraph" w:customStyle="1" w:styleId="202">
    <w:name w:val="xl94"/>
    <w:basedOn w:val="1"/>
    <w:uiPriority w:val="0"/>
    <w:pPr>
      <w:pBdr>
        <w:bottom w:val="single" w:color="auto" w:sz="8" w:space="0"/>
        <w:right w:val="single" w:color="auto" w:sz="8" w:space="0"/>
      </w:pBdr>
      <w:shd w:val="clear" w:color="000000" w:fill="E2EFDA"/>
      <w:spacing w:before="100" w:beforeAutospacing="1" w:after="100" w:afterAutospacing="1" w:line="240" w:lineRule="auto"/>
      <w:jc w:val="center"/>
    </w:pPr>
    <w:rPr>
      <w:rFonts w:ascii="仿宋_GB2312" w:hAnsi="宋体" w:eastAsia="仿宋_GB2312" w:cs="宋体"/>
      <w:color w:val="000000"/>
      <w:sz w:val="21"/>
      <w:szCs w:val="21"/>
      <w:lang w:eastAsia="zh-CN"/>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89190C-410D-43BC-AE3A-15DB6A63D462}">
  <ds:schemaRefs/>
</ds:datastoreItem>
</file>

<file path=docProps/app.xml><?xml version="1.0" encoding="utf-8"?>
<Properties xmlns="http://schemas.openxmlformats.org/officeDocument/2006/extended-properties" xmlns:vt="http://schemas.openxmlformats.org/officeDocument/2006/docPropsVTypes">
  <Template>Normal</Template>
  <Pages>32</Pages>
  <Words>9684</Words>
  <Characters>10117</Characters>
  <Lines>105</Lines>
  <Paragraphs>29</Paragraphs>
  <TotalTime>36</TotalTime>
  <ScaleCrop>false</ScaleCrop>
  <LinksUpToDate>false</LinksUpToDate>
  <CharactersWithSpaces>10215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2026-09-10T08:58:00Z</dcterms:created>
  <dc:creator>python-docx</dc:creator>
  <dc:description>generated by python-docx</dc:description>
  <cp:lastModifiedBy>12</cp:lastModifiedBy>
  <cp:lastPrinted>2026-09-01T00:55:00Z</cp:lastPrinted>
  <dcterms:modified xsi:type="dcterms:W3CDTF">2026-09-11T06:58:04Z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C34061FC6EC544FE8DE56D4FDCC68FBD_13</vt:lpwstr>
  </property>
  <property fmtid="{D5CDD505-2E9C-101B-9397-08002B2CF9AE}" pid="4" name="KSOTemplateDocerSaveRecord">
    <vt:lpwstr>eyJoZGlkIjoiNmNlM2ZjZWI4Y2M3NzUyOWEzZDRhMDUxODQ1YjZiZDMiLCJ1c2VySWQiOiI0MzUwOTk1NzcifQ==</vt:lpwstr>
  </property>
</Properties>
</file>