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hAnsi="微软雅黑" w:eastAsia="微软雅黑" w:cs="Arial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640" w:firstLineChars="20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《鄂州市梁子湖区涂家垴镇下杨村美丽乡村规划(2021-2035年)》规划</w:t>
      </w:r>
      <w:r>
        <w:rPr>
          <w:rFonts w:ascii="微软雅黑" w:hAnsi="微软雅黑" w:eastAsia="微软雅黑"/>
          <w:b/>
          <w:sz w:val="32"/>
          <w:szCs w:val="32"/>
        </w:rPr>
        <w:t>说明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一、项目名称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《鄂州市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梁子湖区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涂家垴镇下杨村村庄规划（20</w:t>
      </w:r>
      <w:bookmarkStart w:id="0" w:name="_GoBack"/>
      <w:bookmarkEnd w:id="0"/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21-2035）》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二、村庄类型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下杨村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紧邻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涂家垴镇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镇区，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北部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为涂镇湖，在《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鄂州市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梁子湖区村庄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分类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布局规划》中定位为“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旅游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特色类村庄”。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三、规划范围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本次规划范围为涂家垴镇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下杨村行政区域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用地面积714.03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公顷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（以2020年国土变更调查数据为准）。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四、规划期限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本村庄规划期限为2021年至2035年。其中，近期为2021-2025年，远期为2026-2035年。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五、主要规划内容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1、规划</w:t>
      </w: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定位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通过对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下杨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村基础资源和特色元素的分析，对村庄进行个性化塑造和特色提升，以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风光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旖旎的湖畔景观为基础，以沃野千里的农业种植为支撑，以“莲文化”、“将军文化”为引爆点，打造一个：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集文化体验、乡村旅游等功能于一体的文旅融合示范村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</w:t>
      </w: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形象定位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梦回千年大将军，碧叶亭亭下杨村。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3、</w:t>
      </w: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产业发展规划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规划形成“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莲系三处、将串三园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”的产业空间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格局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莲系三处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”：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沿环湖绿道、以“莲文化”为主线，串连三个主题区，即馨香·赏莲处、醉美·湖乡处、野趣·采莲处。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将串三园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”：综合服务中心；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沿S121、以“将军文化”为主线，串三个主题园，即奇异·苗圃园、孟珙·研学园、金色·稻香园。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、国土空间总体布局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（一）农业空间格局耕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（1）落实上级规划永久基本农田划定成果，确保图、数一致，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村域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永久基本农田面积共268.01公顷，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按照《土地管理法》、《基本农田保护条例》等相关法律法规要求保护，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任何单位和个人不得擅自占用或改变用途。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（2）本次规划划定农业空间面积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95.88公顷，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为耕地、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园地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、农业设施建设用地、田间道等。不得随意占用耕地。确需占用的，应经村民小组确认，村委会审查同意出具书面意见后，由镇政府按程序办理相关报批手续。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未经批准，不得在园地、商品林及其他农用地进行非农建设活动，不得进行毁林开垦、采石、挖沙、采矿、取土等活动。不得擅自或变相将设施农用地用于其他农建设，并采取措施防止对土壤耕作层破坏和污染。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）生态空间保护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（1）本村生态保护红线面积363.37公顷。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（2）规划划定生态空间面积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82.69公顷，主要为林地、草地、湿地、陆地水域等，大部分位于生态保护红线一般控制区。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优化湿地保护区核心区水系岸线，避免生活空间与水网交错，影响水生态环境；严格保护乔木林地和其他林地等质量较高的林地资源；统筹整合灌木林地；严格保护现状草地资源。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（三）建设空间管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控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本村内村庄建设用地规模为30.54公顷，本次规划划定村庄建设边界总面积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2.26公顷，为适度提高村庄规划的灵活性，规划预留0.46公顷建设用地指标未落实用地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用于村民居住、农村公共公益设施、农村乡村文旅设施及农村新产业新业态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使用。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农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民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住房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本村内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划定农村宅基地25.45公顷，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严格执行“一户一宅”政策，农村村民兴建、改建房屋宅基地(含附属设施)总面积，使用农用地的每户不得超过140平方米，使用未利用土地(建设用地)的每户不得超过200平方米。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在建筑形式、材料、布局上融合地方特色或历史文化进行设计，使其与整体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村庄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风貌相协调，并鼓励创新使用新材料和新技术，色彩和质感与整体村庄农房风貌一致。新申请的宅基地，应在划定的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村庄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建设边界范围内，且优先利用村内空闲地、闲置宅基地和未利用地。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基础设施和公共服务设施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规划以节约集约用地、经济便民为原则，相对集中、合理布局行政管理、文化体育、医疗卫生、社会福利、商业服务等公共服务设施，在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村委会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形成村庄公共服务中心。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3）防灾与减灾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村民的宅基地选址和农房建设须避开自然灾害易发地区。</w:t>
      </w:r>
    </w:p>
    <w:p>
      <w:pPr>
        <w:ind w:firstLine="560" w:firstLineChars="200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2、各村湾内活动广场为防灾避险场所，紧急情况下可用于躲避灾害。</w:t>
      </w:r>
    </w:p>
    <w:p>
      <w:pPr>
        <w:spacing w:line="360" w:lineRule="auto"/>
        <w:jc w:val="center"/>
        <w:rPr>
          <w:rFonts w:ascii="微软雅黑" w:hAnsi="微软雅黑" w:eastAsia="微软雅黑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454015" cy="38900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779" cy="39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0Y2QxMGQ5NzhlZGJjYjY1Zjg3MzY1MDZiNmM4Y2IifQ=="/>
  </w:docVars>
  <w:rsids>
    <w:rsidRoot w:val="009A72FC"/>
    <w:rsid w:val="0013571C"/>
    <w:rsid w:val="003A16F9"/>
    <w:rsid w:val="003A4012"/>
    <w:rsid w:val="00426D64"/>
    <w:rsid w:val="004B7797"/>
    <w:rsid w:val="00733A4C"/>
    <w:rsid w:val="00963F01"/>
    <w:rsid w:val="009A72FC"/>
    <w:rsid w:val="00A20949"/>
    <w:rsid w:val="00C15DD2"/>
    <w:rsid w:val="00CF067B"/>
    <w:rsid w:val="00D57E43"/>
    <w:rsid w:val="00E57CD9"/>
    <w:rsid w:val="11A83D74"/>
    <w:rsid w:val="231739D1"/>
    <w:rsid w:val="275737D1"/>
    <w:rsid w:val="5B2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1899</Words>
  <Characters>2081</Characters>
  <Lines>13</Lines>
  <Paragraphs>3</Paragraphs>
  <TotalTime>5</TotalTime>
  <ScaleCrop>false</ScaleCrop>
  <LinksUpToDate>false</LinksUpToDate>
  <CharactersWithSpaces>2088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2023-08-31T01:38:00Z</dcterms:created>
  <dc:creator>Windows 用户</dc:creator>
  <cp:lastModifiedBy>邓雄</cp:lastModifiedBy>
  <dcterms:modified xsi:type="dcterms:W3CDTF">2023-09-05T09:18:12Z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D9E852AC5F724AEE811E84AE73D4FC36_12</vt:lpwstr>
  </property>
</Properties>
</file>